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529</w:t>
      </w:r>
    </w:p>
    <w:p>
      <w:pPr>
        <w:spacing w:before="0" w:after="0"/>
        <w:ind w:left="120"/>
        <w:jc w:val="center"/>
      </w:pPr>
      <w:r>
        <w:rPr>
          <w:rFonts w:ascii="Times New Roman" w:hAnsi="Times New Roman"/>
          <w:b w:val="false"/>
          <w:i w:val="false"/>
          <w:color w:val="000000"/>
          <w:sz w:val="21"/>
        </w:rPr>
        <w:t>FOR-HIRE INTERSTATE MOTOR CARRIER AUTHORITY</w:t>
      </w:r>
    </w:p>
    <w:p>
      <w:pPr>
        <w:spacing w:before="0" w:after="0"/>
        <w:ind w:left="120"/>
        <w:jc w:val="center"/>
      </w:pPr>
      <w:r>
        <w:rPr>
          <w:rFonts w:ascii="Times New Roman" w:hAnsi="Times New Roman"/>
          <w:b w:val="false"/>
          <w:i w:val="false"/>
          <w:color w:val="000000"/>
          <w:sz w:val="14"/>
        </w:rPr>
        <w:t>[Prior to 6/3/87, Transportation Department[820]—(07,F) 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761—529.1</w:t>
      </w:r>
      <w:r>
        <w:rPr>
          <w:rFonts w:ascii="Times New Roman" w:hAnsi="Times New Roman"/>
          <w:b/>
          <w:i w:val="false"/>
          <w:color w:val="000000"/>
          <w:sz w:val="22"/>
        </w:rPr>
        <w:t xml:space="preserve">(307,327B) </w:t>
      </w:r>
      <w:r>
        <w:rPr>
          <w:rFonts w:ascii="Times New Roman" w:hAnsi="Times New Roman"/>
          <w:b/>
          <w:i w:val="false"/>
          <w:color w:val="000000"/>
          <w:sz w:val="22"/>
        </w:rPr>
        <w:t xml:space="preserve">Motor carrier regulations. </w:t>
      </w:r>
      <w:r>
        <w:rPr>
          <w:rFonts w:ascii="Times New Roman" w:hAnsi="Times New Roman"/>
          <w:b w:val="false"/>
          <w:i w:val="false"/>
          <w:color w:val="000000"/>
          <w:sz w:val="22"/>
        </w:rPr>
        <w:t xml:space="preserve">The department adopts the Code of Federal Regulations, 49 CFR Parts 365 through 368 and 370 through 379, dated October 1, 2024, for regulating interstate for-hire carriers. Copies of this publication are available from the state law library or at </w:t>
      </w:r>
      <w:hyperlink r:id="rId5">
        <w:r>
          <w:rPr>
            <w:rStyle w:val="Hyperlink"/>
            <w:rFonts w:ascii="Times New Roman" w:hAnsi="Times New Roman"/>
            <w:b w:val="false"/>
            <w:i w:val="false"/>
            <w:color w:val="000000"/>
            <w:sz w:val="22"/>
            <w:u w:val="single"/>
          </w:rPr>
          <w:t>www.fmcsa.dot.gov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761—529.2</w:t>
      </w:r>
      <w:r>
        <w:rPr>
          <w:rFonts w:ascii="Times New Roman" w:hAnsi="Times New Roman"/>
          <w:b/>
          <w:i w:val="false"/>
          <w:color w:val="000000"/>
          <w:sz w:val="22"/>
        </w:rPr>
        <w:t xml:space="preserve">(307,327B) </w:t>
      </w:r>
      <w:r>
        <w:rPr>
          <w:rFonts w:ascii="Times New Roman" w:hAnsi="Times New Roman"/>
          <w:b/>
          <w:i w:val="false"/>
          <w:color w:val="000000"/>
          <w:sz w:val="22"/>
        </w:rPr>
        <w:t xml:space="preserve">Registering interstate authority in Iowa. </w:t>
      </w:r>
      <w:r>
        <w:rPr>
          <w:rFonts w:ascii="Times New Roman" w:hAnsi="Times New Roman"/>
          <w:b w:val="false"/>
          <w:i w:val="false"/>
          <w:color w:val="000000"/>
          <w:sz w:val="22"/>
        </w:rPr>
        <w:t>Authorized methods to submit registration for interstate exempt and nonexempt authority to the department include by mail to the Motor Vehicle Division, Iowa Department of Transportation, P.O. Box 10382, Des Moines, Iowa 50306-0382; delivery in person to 6310 SE Convenience Boulevard, Ankeny, Iowa; or by facsimile to 515.237.3257.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761—529.3</w:t>
      </w:r>
      <w:r>
        <w:rPr>
          <w:rFonts w:ascii="Times New Roman" w:hAnsi="Times New Roman"/>
          <w:b/>
          <w:i w:val="false"/>
          <w:color w:val="000000"/>
          <w:sz w:val="22"/>
        </w:rPr>
        <w:t xml:space="preserve">(307,327B) </w:t>
      </w:r>
      <w:r>
        <w:rPr>
          <w:rFonts w:ascii="Times New Roman" w:hAnsi="Times New Roman"/>
          <w:b/>
          <w:i w:val="false"/>
          <w:color w:val="000000"/>
          <w:sz w:val="22"/>
        </w:rPr>
        <w:t xml:space="preserve">Waiver of rules. </w:t>
      </w:r>
      <w:r>
        <w:rPr>
          <w:rFonts w:ascii="Times New Roman" w:hAnsi="Times New Roman"/>
          <w:b w:val="false"/>
          <w:i w:val="false"/>
          <w:color w:val="000000"/>
          <w:sz w:val="22"/>
        </w:rPr>
        <w:t xml:space="preserve">In accordance with </w:t>
      </w:r>
      <w:hyperlink r:id="rId6">
        <w:r>
          <w:rPr>
            <w:rStyle w:val="Hyperlink"/>
            <w:rFonts w:ascii="Times New Roman" w:hAnsi="Times New Roman"/>
            <w:b w:val="false"/>
            <w:i w:val="false"/>
            <w:color w:val="000000"/>
            <w:sz w:val="22"/>
          </w:rPr>
          <w:t>761—Chapter 2504</w:t>
        </w:r>
      </w:hyperlink>
      <w:r>
        <w:rPr>
          <w:rFonts w:ascii="Times New Roman" w:hAnsi="Times New Roman"/>
          <w:b w:val="false"/>
          <w:i w:val="false"/>
          <w:color w:val="000000"/>
          <w:sz w:val="22"/>
        </w:rPr>
        <w:t>, the director of transportation or the director’s designee (director) may, in response to a petition, waive provisions of this chapter. A waiver will not be granted unless the director finds that special or emergency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or emergency circumstances”</w:t>
      </w:r>
      <w:r>
        <w:rPr>
          <w:rFonts w:ascii="Times New Roman" w:hAnsi="Times New Roman"/>
          <w:b w:val="false"/>
          <w:i w:val="false"/>
          <w:color w:val="000000"/>
          <w:sz w:val="22"/>
        </w:rPr>
        <w:t> </w:t>
      </w:r>
      <w:r>
        <w:rPr>
          <w:rFonts w:ascii="Times New Roman" w:hAnsi="Times New Roman"/>
          <w:b w:val="false"/>
          <w:i w:val="false"/>
          <w:color w:val="000000"/>
          <w:sz w:val="22"/>
        </w:rPr>
        <w:t>means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Circumstances where the movement is necessary to cooperate with cities, counties, other state agencies or other states in response to a national or other disaster.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Circumstances where the movement is necessary to cooperate with national defense officials.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Circumstances where the movement is necessary to cooperate with public or private utilities in order to maintain their public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Circumstances where the movement is essential to ensure safety and protection of any person or property due to events such as but not limited to pollution of natural resources, a potential fire or an explosion.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Circumstances where weather or transportation problems create an undue hardship for citizens of the state of Iowa.</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Circumstances where movement involves emergency-type vehicles.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Uncommon or extraordinary circumstances where the movement is essential to the existence of an Iowa business and the move may be accomplished without causing undue hazard to the safety of the traveling public or undue damage to private or public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9514C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307.27</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327B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7/15/75]</w:t>
      </w:r>
    </w:p>
    <w:p>
      <w:pPr>
        <w:spacing w:before="0" w:after="0"/>
        <w:ind w:left="120"/>
        <w:jc w:val="center"/>
      </w:pPr>
      <w:r>
        <w:rPr>
          <w:rFonts w:ascii="Times New Roman" w:hAnsi="Times New Roman"/>
          <w:b w:val="false"/>
          <w:i w:val="false"/>
          <w:color w:val="000000"/>
          <w:sz w:val="21"/>
        </w:rPr>
        <w:t>[Filed 10/17/80, Notice 8/20/80—published 11/12/80, effective 12/17/80]</w:t>
      </w:r>
    </w:p>
    <w:p>
      <w:pPr>
        <w:spacing w:before="0" w:after="0"/>
        <w:ind w:left="120"/>
        <w:jc w:val="center"/>
      </w:pPr>
      <w:r>
        <w:rPr>
          <w:rFonts w:ascii="Times New Roman" w:hAnsi="Times New Roman"/>
          <w:b w:val="false"/>
          <w:i w:val="false"/>
          <w:color w:val="000000"/>
          <w:sz w:val="21"/>
        </w:rPr>
        <w:t>[Filed emergency 7/18/85—published 8/14/85, effective 7/19/85]</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3/26/92—published 4/15/92, effective 4/29/92]</w:t>
      </w:r>
    </w:p>
    <w:p>
      <w:pPr>
        <w:spacing w:before="0" w:after="0"/>
        <w:ind w:left="120"/>
        <w:jc w:val="center"/>
      </w:pPr>
      <w:r>
        <w:rPr>
          <w:rFonts w:ascii="Times New Roman" w:hAnsi="Times New Roman"/>
          <w:b w:val="false"/>
          <w:i w:val="false"/>
          <w:color w:val="000000"/>
          <w:sz w:val="21"/>
        </w:rPr>
        <w:t>[Filed 7/14/99, Notice 5/19/99—published 8/11/99, effective 9/15/99]</w:t>
      </w:r>
    </w:p>
    <w:p>
      <w:pPr>
        <w:spacing w:before="0" w:after="0"/>
        <w:ind w:left="120"/>
        <w:jc w:val="center"/>
      </w:pPr>
      <w:r>
        <w:rPr>
          <w:rFonts w:ascii="Times New Roman" w:hAnsi="Times New Roman"/>
          <w:b w:val="false"/>
          <w:i w:val="false"/>
          <w:color w:val="000000"/>
          <w:sz w:val="21"/>
        </w:rPr>
        <w:t>[Filed 5/10/00, Notice 4/5/00—published 5/31/00, effective 7/5/00]</w:t>
      </w:r>
    </w:p>
    <w:p>
      <w:pPr>
        <w:spacing w:before="0" w:after="0"/>
        <w:ind w:left="120"/>
        <w:jc w:val="center"/>
      </w:pPr>
      <w:r>
        <w:rPr>
          <w:rFonts w:ascii="Times New Roman" w:hAnsi="Times New Roman"/>
          <w:b w:val="false"/>
          <w:i w:val="false"/>
          <w:color w:val="000000"/>
          <w:sz w:val="21"/>
        </w:rPr>
        <w:t>[Filed 3/7/01, Notice 1/10/01—published 4/4/01, effective 5/9/01]</w:t>
      </w:r>
    </w:p>
    <w:p>
      <w:pPr>
        <w:spacing w:before="0" w:after="0"/>
        <w:ind w:left="120"/>
        <w:jc w:val="center"/>
      </w:pPr>
      <w:r>
        <w:rPr>
          <w:rFonts w:ascii="Times New Roman" w:hAnsi="Times New Roman"/>
          <w:b w:val="false"/>
          <w:i w:val="false"/>
          <w:color w:val="000000"/>
          <w:sz w:val="21"/>
        </w:rPr>
        <w:t>[Filed 12/19/01, Notice 11/14/01—published 1/23/02, effective 2/27/02]</w:t>
      </w:r>
    </w:p>
    <w:p>
      <w:pPr>
        <w:spacing w:before="0" w:after="0"/>
        <w:ind w:left="120"/>
        <w:jc w:val="center"/>
      </w:pPr>
      <w:r>
        <w:rPr>
          <w:rFonts w:ascii="Times New Roman" w:hAnsi="Times New Roman"/>
          <w:b w:val="false"/>
          <w:i w:val="false"/>
          <w:color w:val="000000"/>
          <w:sz w:val="21"/>
        </w:rPr>
        <w:t>[Filed 3/13/02, Notice 2/6/02—published 4/3/02, effective 5/8/02]</w:t>
      </w:r>
    </w:p>
    <w:p>
      <w:pPr>
        <w:spacing w:before="0" w:after="0"/>
        <w:ind w:left="120"/>
        <w:jc w:val="center"/>
      </w:pPr>
      <w:r>
        <w:rPr>
          <w:rFonts w:ascii="Times New Roman" w:hAnsi="Times New Roman"/>
          <w:b w:val="false"/>
          <w:i w:val="false"/>
          <w:color w:val="000000"/>
          <w:sz w:val="21"/>
        </w:rPr>
        <w:t>[Filed 3/26/03, Notice 2/5/03—published 4/16/03, effective 5/21/03]</w:t>
      </w:r>
    </w:p>
    <w:p>
      <w:pPr>
        <w:spacing w:before="0" w:after="0"/>
        <w:ind w:left="120"/>
        <w:jc w:val="center"/>
      </w:pPr>
      <w:r>
        <w:rPr>
          <w:rFonts w:ascii="Times New Roman" w:hAnsi="Times New Roman"/>
          <w:b w:val="false"/>
          <w:i w:val="false"/>
          <w:color w:val="000000"/>
          <w:sz w:val="21"/>
        </w:rPr>
        <w:t>[Filed 4/21/04, Notice 3/17/04—published 5/12/04, effective 6/16/04]</w:t>
      </w:r>
    </w:p>
    <w:p>
      <w:pPr>
        <w:spacing w:before="0" w:after="0"/>
        <w:ind w:left="120"/>
        <w:jc w:val="center"/>
      </w:pPr>
      <w:r>
        <w:rPr>
          <w:rFonts w:ascii="Times New Roman" w:hAnsi="Times New Roman"/>
          <w:b w:val="false"/>
          <w:i w:val="false"/>
          <w:color w:val="000000"/>
          <w:sz w:val="21"/>
        </w:rPr>
        <w:t>[Filed 4/15/05, Notice 2/16/05—published 5/11/05, effective 6/15/05]</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4/19/06, Notice 3/15/06—published 5/10/06, effective 6/14/06]</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12/12/07, Notice 11/7/07—published 1/2/08, effective 2/6/08]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7901B</w:t>
      </w:r>
      <w:r>
        <w:rPr>
          <w:rFonts w:ascii="Times New Roman" w:hAnsi="Times New Roman"/>
          <w:b w:val="false"/>
          <w:i w:val="false"/>
          <w:color w:val="000000"/>
          <w:sz w:val="21"/>
        </w:rPr>
        <w:t xml:space="preserve"> (Notice ARC 7716B,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8837B</w:t>
      </w:r>
      <w:r>
        <w:rPr>
          <w:rFonts w:ascii="Times New Roman" w:hAnsi="Times New Roman"/>
          <w:b w:val="false"/>
          <w:i w:val="false"/>
          <w:color w:val="000000"/>
          <w:sz w:val="21"/>
        </w:rPr>
        <w:t xml:space="preserve"> (Notice ARC 8668B,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2986C</w:t>
      </w:r>
      <w:r>
        <w:rPr>
          <w:rFonts w:ascii="Times New Roman" w:hAnsi="Times New Roman"/>
          <w:b w:val="false"/>
          <w:i w:val="false"/>
          <w:color w:val="000000"/>
          <w:sz w:val="21"/>
        </w:rPr>
        <w:t xml:space="preserve"> (Notice ARC 2878C, IAB 1/4/17)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3840C</w:t>
      </w:r>
      <w:r>
        <w:rPr>
          <w:rFonts w:ascii="Times New Roman" w:hAnsi="Times New Roman"/>
          <w:b w:val="false"/>
          <w:i w:val="false"/>
          <w:color w:val="000000"/>
          <w:sz w:val="21"/>
        </w:rPr>
        <w:t xml:space="preserve"> (Notice ARC 3700C,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4401C</w:t>
      </w:r>
      <w:r>
        <w:rPr>
          <w:rFonts w:ascii="Times New Roman" w:hAnsi="Times New Roman"/>
          <w:b w:val="false"/>
          <w:i w:val="false"/>
          <w:color w:val="000000"/>
          <w:sz w:val="21"/>
        </w:rPr>
        <w:t xml:space="preserve"> (Notice ARC 4256C, IAB 1/30/19)</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5018C</w:t>
      </w:r>
      <w:r>
        <w:rPr>
          <w:rFonts w:ascii="Times New Roman" w:hAnsi="Times New Roman"/>
          <w:b w:val="false"/>
          <w:i w:val="false"/>
          <w:color w:val="000000"/>
          <w:sz w:val="21"/>
        </w:rPr>
        <w:t xml:space="preserve"> (Notice ARC 4895C,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5547C</w:t>
      </w:r>
      <w:r>
        <w:rPr>
          <w:rFonts w:ascii="Times New Roman" w:hAnsi="Times New Roman"/>
          <w:b w:val="false"/>
          <w:i w:val="false"/>
          <w:color w:val="000000"/>
          <w:sz w:val="21"/>
        </w:rPr>
        <w:t xml:space="preserve"> (Notice ARC 5411C, IAB 2/10/21)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6970C</w:t>
      </w:r>
      <w:r>
        <w:rPr>
          <w:rFonts w:ascii="Times New Roman" w:hAnsi="Times New Roman"/>
          <w:b w:val="false"/>
          <w:i w:val="false"/>
          <w:color w:val="000000"/>
          <w:sz w:val="21"/>
        </w:rPr>
        <w:t xml:space="preserve"> (Notice ARC 6822C,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8055C</w:t>
      </w:r>
      <w:r>
        <w:rPr>
          <w:rFonts w:ascii="Times New Roman" w:hAnsi="Times New Roman"/>
          <w:b w:val="false"/>
          <w:i w:val="false"/>
          <w:color w:val="000000"/>
          <w:sz w:val="21"/>
        </w:rPr>
        <w:t xml:space="preserve"> (Notice ARC 7745C, IAB 4/3/24)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[Filed ARC 9514C</w:t>
      </w:r>
      <w:r>
        <w:rPr>
          <w:rFonts w:ascii="Times New Roman" w:hAnsi="Times New Roman"/>
          <w:b w:val="false"/>
          <w:i w:val="false"/>
          <w:color w:val="000000"/>
          <w:sz w:val="21"/>
        </w:rPr>
        <w:t xml:space="preserve"> (Notice ARC 9189C, IAB 4/30/25)</w:t>
      </w:r>
      <w:r>
        <w:rPr>
          <w:rFonts w:ascii="Times New Roman" w:hAnsi="Times New Roman"/>
          <w:b w:val="false"/>
          <w:i w:val="false"/>
          <w:color w:val="000000"/>
          <w:sz w:val="21"/>
        </w:rPr>
        <w:t>, IAB 8/20/25, effective 9/24/25]</w:t>
      </w:r>
    </w:p>
    <w:p>
      <w:pPr>
        <w:spacing w:before="0" w:after="0"/>
        <w:ind w:left="120"/>
        <w:jc w:val="center"/>
      </w:pPr>
      <w:r>
        <w:rPr>
          <w:rFonts w:ascii="Times New Roman" w:hAnsi="Times New Roman"/>
          <w:b w:val="false"/>
          <w:i w:val="false"/>
          <w:color w:val="000000"/>
          <w:sz w:val="21"/>
        </w:rPr>
        <w:t>[Editorial change: IAC Supplement 6/24/26]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fmcsa.dot.gov" Type="http://schemas.openxmlformats.org/officeDocument/2006/relationships/hyperlink" Id="rId5"/>
    <Relationship TargetMode="External" Target="https://www.legis.iowa.gov/docs/iac/chapter/761.2504.pdf"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07.27.pdf" Type="http://schemas.openxmlformats.org/officeDocument/2006/relationships/hyperlink" Id="rId8"/>
    <Relationship TargetMode="External" Target="https://www.legis.iowa.gov/docs/ico/chapter/327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