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981</w:t>
      </w:r>
    </w:p>
    <w:p>
      <w:pPr>
        <w:spacing w:before="0" w:after="0"/>
        <w:ind w:left="120"/>
        <w:jc w:val="center"/>
      </w:pPr>
      <w:r>
        <w:rPr>
          <w:rFonts w:ascii="Times New Roman" w:hAnsi="Times New Roman"/>
          <w:b w:val="false"/>
          <w:i w:val="false"/>
          <w:color w:val="000000"/>
          <w:sz w:val="21"/>
        </w:rPr>
        <w:t>CONTINUING EDUCATION FOR NURSING HOME ADMINISTRATION</w:t>
      </w:r>
    </w:p>
    <w:p>
      <w:pPr>
        <w:spacing w:before="0" w:after="0"/>
        <w:ind w:left="120"/>
        <w:jc w:val="center"/>
      </w:pPr>
      <w:r>
        <w:rPr>
          <w:rFonts w:ascii="Times New Roman" w:hAnsi="Times New Roman"/>
          <w:b w:val="false"/>
          <w:i w:val="false"/>
          <w:color w:val="000000"/>
          <w:sz w:val="14"/>
        </w:rPr>
        <w:t>[Prior to 8/24/88, see Nursing Home Administrators Board of Examiners [600], Ch 3]</w:t>
      </w:r>
    </w:p>
    <w:p>
      <w:pPr>
        <w:spacing w:before="0" w:after="0"/>
        <w:ind w:left="120"/>
        <w:jc w:val="center"/>
      </w:pPr>
      <w:r>
        <w:rPr>
          <w:rFonts w:ascii="Times New Roman" w:hAnsi="Times New Roman"/>
          <w:b w:val="false"/>
          <w:i w:val="false"/>
          <w:color w:val="000000"/>
          <w:sz w:val="14"/>
        </w:rPr>
        <w:t>[Prior to 9/13/95, see 645—Chapter 142]</w:t>
      </w:r>
    </w:p>
    <w:p>
      <w:pPr>
        <w:spacing w:before="0" w:after="0"/>
        <w:ind w:left="120"/>
        <w:jc w:val="center"/>
      </w:pPr>
      <w:r>
        <w:rPr>
          <w:rFonts w:ascii="Times New Roman" w:hAnsi="Times New Roman"/>
          <w:b w:val="false"/>
          <w:i w:val="false"/>
          <w:color w:val="000000"/>
          <w:sz w:val="14"/>
        </w:rPr>
        <w:t>[Prior to 9/18/24, see Professional Licensure Division[645] Ch 143]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481—981.1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the license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nursing home administrator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Continuing Education Review Service (NCERS)” </w:t>
      </w:r>
      <w:r>
        <w:rPr>
          <w:rFonts w:ascii="Times New Roman" w:hAnsi="Times New Roman"/>
          <w:b w:val="false"/>
          <w:i w:val="false"/>
          <w:color w:val="000000"/>
          <w:sz w:val="22"/>
        </w:rPr>
        <w:t>means the continuing education review service operated by the National Association of Boards of Examiners for Nursing Home Administrators.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481—981.2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will extend for a two-year period beginning on January 1 of each even-numbered year and ending on December 31 of the next odd-numbered year. Each biennium, each person who is licensed to practice as a licensee in this state will be required to complete a minimum of 40 hours of continuing education. Licensees who complete continuing education hours in excess of the requirements for renewal may apply up to 50 percent of the required hours to the following renewal period. Licensees may apply a maximum of 20 hours from the previous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of new licensees. Those persons licensed for the first time will not be required to complete continuing education as a prerequisite for the first renewal of their licenses. Continuing education hours acquired anytime from the initial licensing until the second license renewal may be used.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981.2(3)</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continuing education credit may be obtained by attending and participating in a continuing education activity.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981.2(4)</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9284C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481—981.3</w:t>
      </w:r>
      <w:r>
        <w:rPr>
          <w:rFonts w:ascii="Times New Roman" w:hAnsi="Times New Roman"/>
          <w:b/>
          <w:i w:val="false"/>
          <w:color w:val="000000"/>
          <w:sz w:val="22"/>
        </w:rPr>
        <w:t xml:space="preserve">(155,272C)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an organized program of learning fundamental to the practice of the profession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 conducted by individuals who have specialized education, training and experience in the subject matter of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Licensees may obtain continuing education hours of credit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Participating in the continuing education programs approved by the National Continuing Education Review Service (NCERS).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Academic coursework that meets the criteria set forth in these rules. Continuing education credit equivalents are as follows:</w:t>
      </w:r>
    </w:p>
    <w:p>
      <w:pPr>
        <w:spacing w:before="0" w:after="0"/>
        <w:ind w:left="120"/>
        <w:jc w:val="both"/>
      </w:pPr>
      <w:r>
        <w:rPr>
          <w:rFonts w:ascii="Times New Roman" w:hAnsi="Times New Roman"/>
          <w:b w:val="false"/>
          <w:i w:val="false"/>
          <w:color w:val="000000"/>
          <w:sz w:val="22"/>
        </w:rPr>
        <w:t xml:space="preserve">1 academic semester hour = 15 continuing education hours </w:t>
      </w:r>
    </w:p>
    <w:p>
      <w:pPr>
        <w:spacing w:before="0" w:after="0"/>
        <w:ind w:left="120"/>
        <w:jc w:val="both"/>
      </w:pPr>
      <w:r>
        <w:rPr>
          <w:rFonts w:ascii="Times New Roman" w:hAnsi="Times New Roman"/>
          <w:b w:val="false"/>
          <w:i w:val="false"/>
          <w:color w:val="000000"/>
          <w:sz w:val="22"/>
        </w:rPr>
        <w:t>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Attendance at or participation in a program or course that meets the requirements in subrule </w:t>
      </w:r>
      <w:r>
        <w:rPr>
          <w:rFonts w:ascii="Times New Roman" w:hAnsi="Times New Roman"/>
          <w:b w:val="false"/>
          <w:i w:val="false"/>
          <w:color w:val="000000"/>
          <w:sz w:val="22"/>
        </w:rPr>
        <w:t>981.3(1)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Making presentations; conducting research; producing publications; preparing new courses; participating in home study courses; attending electronically transmitted courses; and attending workshops, conferences, or symposiums.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Self-study coursework that meets the criteria set forth in these rules. Continuing education credit equivalent for self-study is as follows:</w:t>
      </w:r>
    </w:p>
    <w:p>
      <w:pPr>
        <w:spacing w:before="0" w:after="0"/>
        <w:ind w:left="120"/>
        <w:jc w:val="both"/>
      </w:pPr>
      <w:r>
        <w:rPr>
          <w:rFonts w:ascii="Times New Roman" w:hAnsi="Times New Roman"/>
          <w:b w:val="false"/>
          <w:i w:val="false"/>
          <w:color w:val="000000"/>
          <w:sz w:val="22"/>
        </w:rPr>
        <w:t>180 minutes of self-study work = 1 continuing education hour</w:t>
      </w:r>
    </w:p>
    <w:p>
      <w:pPr>
        <w:spacing w:before="0" w:after="0"/>
        <w:ind w:left="120"/>
        <w:jc w:val="both"/>
      </w:pPr>
      <w:r>
        <w:rPr>
          <w:rFonts w:ascii="Times New Roman" w:hAnsi="Times New Roman"/>
          <w:b w:val="false"/>
          <w:i w:val="false"/>
          <w:color w:val="000000"/>
          <w:sz w:val="22"/>
        </w:rPr>
        <w:t>The maximum number of hours for self-study, including television viewing, video or sound-recorded programs, correspondence work, or research, or by other similar means that is not directly sponsored by and supervised by an accredited postsecondary college or university or NCERS, is eight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481—981.4</w:t>
      </w:r>
      <w:r>
        <w:rPr>
          <w:rFonts w:ascii="Times New Roman" w:hAnsi="Times New Roman"/>
          <w:b/>
          <w:i w:val="false"/>
          <w:color w:val="000000"/>
          <w:sz w:val="22"/>
        </w:rPr>
        <w:t xml:space="preserve">(155,272C) </w:t>
      </w:r>
      <w:r>
        <w:rPr>
          <w:rFonts w:ascii="Times New Roman" w:hAnsi="Times New Roman"/>
          <w:b/>
          <w:i w:val="false"/>
          <w:color w:val="000000"/>
          <w:sz w:val="22"/>
        </w:rPr>
        <w:t xml:space="preserve">Exemptions. </w:t>
      </w:r>
      <w:r>
        <w:rPr>
          <w:rFonts w:ascii="Times New Roman" w:hAnsi="Times New Roman"/>
          <w:b w:val="false"/>
          <w:i w:val="false"/>
          <w:color w:val="000000"/>
          <w:sz w:val="22"/>
        </w:rPr>
        <w:t>A licensee is exempt from the continuing education requirement when that person: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Served honorably on active duty in the military service;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Resided in another state with continuing education requirements that the applicant met;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Was a government employee working in the licensee’s specialty and assigned to duty outside the United States;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Has a disability, illness, or primary caregiver status requiring an extension of time or exemption upon approval by the board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8/28/78, Notice 3/8/78—published 9/20/78, effective 10/25/78]</w:t>
      </w:r>
    </w:p>
    <w:p>
      <w:pPr>
        <w:spacing w:before="0" w:after="0"/>
        <w:ind w:left="120"/>
        <w:jc w:val="center"/>
      </w:pPr>
      <w:r>
        <w:rPr>
          <w:rFonts w:ascii="Times New Roman" w:hAnsi="Times New Roman"/>
          <w:b w:val="false"/>
          <w:i w:val="false"/>
          <w:color w:val="000000"/>
          <w:sz w:val="21"/>
        </w:rPr>
        <w:t>[Filed 8/14/81, Notice 6/10/81—published 9/2/81, effective 10/7/81]</w:t>
      </w:r>
    </w:p>
    <w:p>
      <w:pPr>
        <w:spacing w:before="0" w:after="0"/>
        <w:ind w:left="120"/>
        <w:jc w:val="center"/>
      </w:pPr>
      <w:r>
        <w:rPr>
          <w:rFonts w:ascii="Times New Roman" w:hAnsi="Times New Roman"/>
          <w:b w:val="false"/>
          <w:i w:val="false"/>
          <w:color w:val="000000"/>
          <w:sz w:val="21"/>
        </w:rPr>
        <w:t>[Filed 4/20/84, Notice 1/18/84—published 5/9/84, effective 6/14/84]</w:t>
      </w:r>
    </w:p>
    <w:p>
      <w:pPr>
        <w:spacing w:before="0" w:after="0"/>
        <w:ind w:left="120"/>
        <w:jc w:val="center"/>
      </w:pPr>
      <w:r>
        <w:rPr>
          <w:rFonts w:ascii="Times New Roman" w:hAnsi="Times New Roman"/>
          <w:b w:val="false"/>
          <w:i w:val="false"/>
          <w:color w:val="000000"/>
          <w:sz w:val="21"/>
        </w:rPr>
        <w:t>[Filed 7/10/85, Notice 6/5/85—published 7/31/85, effective 9/4/85]</w:t>
      </w:r>
    </w:p>
    <w:p>
      <w:pPr>
        <w:spacing w:before="0" w:after="0"/>
        <w:ind w:left="120"/>
        <w:jc w:val="center"/>
      </w:pPr>
      <w:r>
        <w:rPr>
          <w:rFonts w:ascii="Times New Roman" w:hAnsi="Times New Roman"/>
          <w:b w:val="false"/>
          <w:i w:val="false"/>
          <w:color w:val="000000"/>
          <w:sz w:val="21"/>
        </w:rPr>
        <w:t>[Filed 10/15/85, Notice 5/8/85—published 11/6/85, effective 12/11/85]</w:t>
      </w:r>
    </w:p>
    <w:p>
      <w:pPr>
        <w:spacing w:before="0" w:after="0"/>
        <w:ind w:left="120"/>
        <w:jc w:val="center"/>
      </w:pPr>
      <w:r>
        <w:rPr>
          <w:rFonts w:ascii="Times New Roman" w:hAnsi="Times New Roman"/>
          <w:b w:val="false"/>
          <w:i w:val="false"/>
          <w:color w:val="000000"/>
          <w:sz w:val="21"/>
        </w:rPr>
        <w:t>[Filed 1/17/86, Notice 8/14/85—published 2/12/86, effective 3/21/86]</w:t>
      </w:r>
    </w:p>
    <w:p>
      <w:pPr>
        <w:spacing w:before="0" w:after="0"/>
        <w:ind w:left="120"/>
        <w:jc w:val="center"/>
      </w:pPr>
      <w:r>
        <w:rPr>
          <w:rFonts w:ascii="Times New Roman" w:hAnsi="Times New Roman"/>
          <w:b w:val="false"/>
          <w:i w:val="false"/>
          <w:color w:val="000000"/>
          <w:sz w:val="21"/>
        </w:rPr>
        <w:t>[Filed 8/5/88, Notice 3/23/88—published 8/24/88, effective 9/28/88]</w:t>
      </w:r>
    </w:p>
    <w:p>
      <w:pPr>
        <w:spacing w:before="0" w:after="0"/>
        <w:ind w:left="120"/>
        <w:jc w:val="center"/>
      </w:pPr>
      <w:r>
        <w:rPr>
          <w:rFonts w:ascii="Times New Roman" w:hAnsi="Times New Roman"/>
          <w:b w:val="false"/>
          <w:i w:val="false"/>
          <w:color w:val="000000"/>
          <w:sz w:val="21"/>
        </w:rPr>
        <w:t>[Filed 11/22/89, Notice 9/20/89—published 12/13/89, effective 1/17/90]</w:t>
      </w:r>
    </w:p>
    <w:p>
      <w:pPr>
        <w:spacing w:before="0" w:after="0"/>
        <w:ind w:left="120"/>
        <w:jc w:val="center"/>
      </w:pPr>
      <w:r>
        <w:rPr>
          <w:rFonts w:ascii="Times New Roman" w:hAnsi="Times New Roman"/>
          <w:b w:val="false"/>
          <w:i w:val="false"/>
          <w:color w:val="000000"/>
          <w:sz w:val="21"/>
        </w:rPr>
        <w:t>[Filed 7/20/90, Notice 4/4/90—published 8/8/90, effective 9/12/90]</w:t>
      </w:r>
    </w:p>
    <w:p>
      <w:pPr>
        <w:spacing w:before="0" w:after="0"/>
        <w:ind w:left="120"/>
        <w:jc w:val="center"/>
      </w:pPr>
      <w:r>
        <w:rPr>
          <w:rFonts w:ascii="Times New Roman" w:hAnsi="Times New Roman"/>
          <w:b w:val="false"/>
          <w:i w:val="false"/>
          <w:color w:val="000000"/>
          <w:sz w:val="21"/>
        </w:rPr>
        <w:t>[Filed 8/25/95, Notice 3/15/95—published 9/13/95, effective 10/18/95]</w:t>
      </w:r>
    </w:p>
    <w:p>
      <w:pPr>
        <w:spacing w:before="0" w:after="0"/>
        <w:ind w:left="120"/>
        <w:jc w:val="center"/>
      </w:pPr>
      <w:r>
        <w:rPr>
          <w:rFonts w:ascii="Times New Roman" w:hAnsi="Times New Roman"/>
          <w:b w:val="false"/>
          <w:i w:val="false"/>
          <w:color w:val="000000"/>
          <w:sz w:val="21"/>
        </w:rPr>
        <w:t>[Filed 10/29/99, Notice 9/8/99—published 11/17/99, effective 12/22/99]</w:t>
      </w:r>
    </w:p>
    <w:p>
      <w:pPr>
        <w:spacing w:before="0" w:after="0"/>
        <w:ind w:left="120"/>
        <w:jc w:val="center"/>
      </w:pPr>
      <w:r>
        <w:rPr>
          <w:rFonts w:ascii="Times New Roman" w:hAnsi="Times New Roman"/>
          <w:b w:val="false"/>
          <w:i w:val="false"/>
          <w:color w:val="000000"/>
          <w:sz w:val="21"/>
        </w:rPr>
        <w:t>[Filed 9/29/00, Notice 7/26/00—published 10/18/00, effective 11/22/00]</w:t>
      </w:r>
    </w:p>
    <w:p>
      <w:pPr>
        <w:spacing w:before="0" w:after="0"/>
        <w:ind w:left="120"/>
        <w:jc w:val="center"/>
      </w:pPr>
      <w:r>
        <w:rPr>
          <w:rFonts w:ascii="Times New Roman" w:hAnsi="Times New Roman"/>
          <w:b w:val="false"/>
          <w:i w:val="false"/>
          <w:color w:val="000000"/>
          <w:sz w:val="21"/>
        </w:rPr>
        <w:t>[Filed 5/11/01, Notice 3/21/01—published 5/30/01, effective 7/4/01]</w:t>
      </w:r>
    </w:p>
    <w:p>
      <w:pPr>
        <w:spacing w:before="0" w:after="0"/>
        <w:ind w:left="120"/>
        <w:jc w:val="center"/>
      </w:pPr>
      <w:r>
        <w:rPr>
          <w:rFonts w:ascii="Times New Roman" w:hAnsi="Times New Roman"/>
          <w:b w:val="false"/>
          <w:i w:val="false"/>
          <w:color w:val="000000"/>
          <w:sz w:val="21"/>
        </w:rPr>
        <w:t>[Filed 7/21/05, Notice 4/27/05—published 8/17/05, effective 9/21/05]</w:t>
      </w:r>
    </w:p>
    <w:p>
      <w:pPr>
        <w:spacing w:before="0" w:after="0"/>
        <w:ind w:left="120"/>
        <w:jc w:val="center"/>
      </w:pPr>
      <w:r>
        <w:rPr>
          <w:rFonts w:ascii="Times New Roman" w:hAnsi="Times New Roman"/>
          <w:b w:val="false"/>
          <w:i w:val="false"/>
          <w:color w:val="000000"/>
          <w:sz w:val="21"/>
        </w:rPr>
        <w:t>[Filed ARC 7576B</w:t>
      </w:r>
      <w:r>
        <w:rPr>
          <w:rFonts w:ascii="Times New Roman" w:hAnsi="Times New Roman"/>
          <w:b w:val="false"/>
          <w:i w:val="false"/>
          <w:color w:val="000000"/>
          <w:sz w:val="21"/>
        </w:rPr>
        <w:t xml:space="preserve"> (Notice ARC 7285B, IAB 10/22/08)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7972C</w:t>
      </w:r>
      <w:r>
        <w:rPr>
          <w:rFonts w:ascii="Times New Roman" w:hAnsi="Times New Roman"/>
          <w:b w:val="false"/>
          <w:i w:val="false"/>
          <w:color w:val="000000"/>
          <w:sz w:val="21"/>
        </w:rPr>
        <w:t xml:space="preserve"> (Notice ARC 7477C,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9284C</w:t>
      </w:r>
      <w:r>
        <w:rPr>
          <w:rFonts w:ascii="Times New Roman" w:hAnsi="Times New Roman"/>
          <w:b w:val="false"/>
          <w:i w:val="false"/>
          <w:color w:val="000000"/>
          <w:sz w:val="21"/>
        </w:rPr>
        <w:t xml:space="preserve"> (Notice ARC 8949C, IAB 2/19/25)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2.pdf" Type="http://schemas.openxmlformats.org/officeDocument/2006/relationships/hyperlink" Id="rId5"/>
    <Relationship TargetMode="External" Target="https://www.legis.iowa.gov/docs/ico/chapter/155.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