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NURSING HOME ADMINISTRATORS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980</w:t>
      </w:r>
    </w:p>
    <w:p>
      <w:pPr>
        <w:spacing w:before="0" w:after="0"/>
        <w:ind w:left="120"/>
        <w:jc w:val="center"/>
      </w:pPr>
      <w:r>
        <w:rPr>
          <w:rFonts w:ascii="Times New Roman" w:hAnsi="Times New Roman"/>
          <w:b w:val="false"/>
          <w:i w:val="false"/>
          <w:color w:val="000000"/>
          <w:sz w:val="21"/>
        </w:rPr>
        <w:t>LICENSURE OF NURSING HOME ADMINISTRATORS</w:t>
      </w:r>
    </w:p>
    <w:p>
      <w:pPr>
        <w:spacing w:before="0" w:after="0"/>
        <w:ind w:left="120"/>
        <w:jc w:val="center"/>
      </w:pPr>
      <w:r>
        <w:rPr>
          <w:rFonts w:ascii="Times New Roman" w:hAnsi="Times New Roman"/>
          <w:b w:val="false"/>
          <w:i w:val="false"/>
          <w:color w:val="000000"/>
          <w:sz w:val="20"/>
        </w:rPr>
        <w:t>[Prior to 8/24/88, see Nursing Home Administrators Board of Examiners[600], Ch 2]</w:t>
      </w:r>
    </w:p>
    <w:p>
      <w:pPr>
        <w:spacing w:before="0" w:after="0"/>
        <w:ind w:left="120"/>
        <w:jc w:val="center"/>
      </w:pPr>
      <w:r>
        <w:rPr>
          <w:rFonts w:ascii="Times New Roman" w:hAnsi="Times New Roman"/>
          <w:b w:val="false"/>
          <w:i w:val="false"/>
          <w:color w:val="000000"/>
          <w:sz w:val="20"/>
        </w:rPr>
        <w:t>[Prior to 9/18/24, see Professional Licensure Division[645] Ch 141]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481—980.1</w:t>
      </w:r>
      <w:r>
        <w:rPr>
          <w:rFonts w:ascii="Times New Roman" w:hAnsi="Times New Roman"/>
          <w:b/>
          <w:i w:val="false"/>
          <w:color w:val="000000"/>
          <w:sz w:val="22"/>
        </w:rPr>
        <w:t xml:space="preserve">(155)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licensed nursing home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of nursing home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“HSE”</w:t>
      </w:r>
      <w:r>
        <w:rPr>
          <w:rFonts w:ascii="Times New Roman" w:hAnsi="Times New Roman"/>
          <w:b w:val="false"/>
          <w:i w:val="false"/>
          <w:color w:val="000000"/>
          <w:sz w:val="22"/>
        </w:rPr>
        <w:t> </w:t>
      </w:r>
      <w:r>
        <w:rPr>
          <w:rFonts w:ascii="Times New Roman" w:hAnsi="Times New Roman"/>
          <w:b w:val="false"/>
          <w:i w:val="false"/>
          <w:color w:val="000000"/>
          <w:sz w:val="22"/>
        </w:rPr>
        <w:t>means a Health Services Executive as designated by the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nursing home administration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“NAB”</w:t>
      </w:r>
      <w:r>
        <w:rPr>
          <w:rFonts w:ascii="Times New Roman" w:hAnsi="Times New Roman"/>
          <w:b w:val="false"/>
          <w:i w:val="false"/>
          <w:color w:val="000000"/>
          <w:sz w:val="22"/>
        </w:rPr>
        <w:t> </w:t>
      </w:r>
      <w:r>
        <w:rPr>
          <w:rFonts w:ascii="Times New Roman" w:hAnsi="Times New Roman"/>
          <w:b w:val="false"/>
          <w:i w:val="false"/>
          <w:color w:val="000000"/>
          <w:sz w:val="22"/>
        </w:rPr>
        <w:t>means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“Preceptor”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as a nursing home administrator and is approved by the department to supervise a person in a mentoring or administrator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“Provisional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to an administrator appointed on a temporary basis to perform the duties of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481—980.15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by which a licensee who has had a license suspended or revoked or who has voluntarily surrendered a license may apply to have the license reinstated, with or without conditions.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481—980.2</w:t>
      </w:r>
      <w:r>
        <w:rPr>
          <w:rFonts w:ascii="Times New Roman" w:hAnsi="Times New Roman"/>
          <w:b/>
          <w:i w:val="false"/>
          <w:color w:val="000000"/>
          <w:sz w:val="22"/>
        </w:rPr>
        <w:t xml:space="preserve">(155)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7">
        <w:r>
          <w:rPr>
            <w:rStyle w:val="Hyperlink"/>
            <w:rFonts w:ascii="Times New Roman" w:hAnsi="Times New Roman"/>
            <w:b w:val="false"/>
            <w:i w:val="false"/>
            <w:color w:val="000000"/>
            <w:sz w:val="22"/>
          </w:rPr>
          <w:t>481—507.10</w:t>
        </w:r>
      </w:hyperlink>
      <w:r>
        <w:rPr>
          <w:rFonts w:ascii="Times New Roman" w:hAnsi="Times New Roman"/>
          <w:b w:val="false"/>
          <w:i w:val="false"/>
          <w:color w:val="000000"/>
          <w:sz w:val="22"/>
        </w:rPr>
        <w:t>(147,155);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certification as an HSE through NAB;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Transcripts verifying a baccalaureate or postbaccalaureate degree sent directly from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Passing score on all required national NAB examinations and meeting all other licensure requirements to be approved to take all required national NAB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Administrator training program supervised by a preceptor who meets the requirements outlined in rule </w:t>
      </w:r>
      <w:hyperlink r:id="rId8">
        <w:r>
          <w:rPr>
            <w:rStyle w:val="Hyperlink"/>
            <w:rFonts w:ascii="Times New Roman" w:hAnsi="Times New Roman"/>
            <w:b w:val="false"/>
            <w:i w:val="false"/>
            <w:color w:val="000000"/>
            <w:sz w:val="22"/>
          </w:rPr>
          <w:t>481—980.4</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Practicum in long-term health care completed through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2,080 hours of long-term health care administration or health-care-related experience in a nursing home may be approved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481—980.3</w:t>
      </w:r>
      <w:r>
        <w:rPr>
          <w:rFonts w:ascii="Times New Roman" w:hAnsi="Times New Roman"/>
          <w:b/>
          <w:i w:val="false"/>
          <w:color w:val="000000"/>
          <w:sz w:val="22"/>
        </w:rPr>
        <w:t xml:space="preserve">(147,155) </w:t>
      </w:r>
      <w:r>
        <w:rPr>
          <w:rFonts w:ascii="Times New Roman" w:hAnsi="Times New Roman"/>
          <w:b/>
          <w:i w:val="false"/>
          <w:color w:val="000000"/>
          <w:sz w:val="22"/>
        </w:rPr>
        <w:t xml:space="preserve">Foreign-trained applicants. </w:t>
      </w:r>
      <w:r>
        <w:rPr>
          <w:rFonts w:ascii="Times New Roman" w:hAnsi="Times New Roman"/>
          <w:b w:val="false"/>
          <w:i w:val="false"/>
          <w:color w:val="000000"/>
          <w:sz w:val="22"/>
        </w:rPr>
        <w:t>Foreign-trained nursing home administrators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Educational Research Foundation, Inc., Credentials Evaluation Service. A candidate will be responsible for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nursing home administration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980.3(3)</w:t>
      </w:r>
      <w:r>
        <w:rPr>
          <w:rFonts w:ascii="Times New Roman" w:hAnsi="Times New Roman"/>
          <w:b w:val="false"/>
          <w:i w:val="false"/>
          <w:color w:val="000000"/>
          <w:sz w:val="22"/>
        </w:rPr>
        <w:t> </w:t>
      </w:r>
      <w:r>
        <w:rPr>
          <w:rFonts w:ascii="Times New Roman" w:hAnsi="Times New Roman"/>
          <w:b w:val="false"/>
          <w:i w:val="false"/>
          <w:color w:val="000000"/>
          <w:sz w:val="22"/>
        </w:rPr>
        <w:t>Provide satisfactory evidence of completion of administrator training program, practicum or 2,080 hours of work experience in long-term health care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481—980.4</w:t>
      </w:r>
      <w:r>
        <w:rPr>
          <w:rFonts w:ascii="Times New Roman" w:hAnsi="Times New Roman"/>
          <w:b/>
          <w:i w:val="false"/>
          <w:color w:val="000000"/>
          <w:sz w:val="22"/>
        </w:rPr>
        <w:t xml:space="preserve">(155) </w:t>
      </w:r>
      <w:r>
        <w:rPr>
          <w:rFonts w:ascii="Times New Roman" w:hAnsi="Times New Roman"/>
          <w:b/>
          <w:i w:val="false"/>
          <w:color w:val="000000"/>
          <w:sz w:val="22"/>
        </w:rPr>
        <w:t xml:space="preserve">Preceptor qualifications. </w:t>
      </w:r>
      <w:r>
        <w:rPr>
          <w:rFonts w:ascii="Times New Roman" w:hAnsi="Times New Roman"/>
          <w:b w:val="false"/>
          <w:i w:val="false"/>
          <w:color w:val="000000"/>
          <w:sz w:val="22"/>
        </w:rPr>
        <w:t>Preceptor qualifications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980.4(1)</w:t>
      </w:r>
      <w:r>
        <w:rPr>
          <w:rFonts w:ascii="Times New Roman" w:hAnsi="Times New Roman"/>
          <w:b w:val="false"/>
          <w:i w:val="false"/>
          <w:color w:val="000000"/>
          <w:sz w:val="22"/>
        </w:rPr>
        <w:t> </w:t>
      </w:r>
      <w:r>
        <w:rPr>
          <w:rFonts w:ascii="Times New Roman" w:hAnsi="Times New Roman"/>
          <w:b w:val="false"/>
          <w:i w:val="false"/>
          <w:color w:val="000000"/>
          <w:sz w:val="22"/>
        </w:rPr>
        <w:t>Current licensure and at least two years of experience as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980.4(2)</w:t>
      </w:r>
      <w:r>
        <w:rPr>
          <w:rFonts w:ascii="Times New Roman" w:hAnsi="Times New Roman"/>
          <w:b w:val="false"/>
          <w:i w:val="false"/>
          <w:color w:val="000000"/>
          <w:sz w:val="22"/>
        </w:rPr>
        <w:t> </w:t>
      </w:r>
      <w:r>
        <w:rPr>
          <w:rFonts w:ascii="Times New Roman" w:hAnsi="Times New Roman"/>
          <w:b w:val="false"/>
          <w:i w:val="false"/>
          <w:color w:val="000000"/>
          <w:sz w:val="22"/>
        </w:rPr>
        <w:t>Completion of NAB’s preceptor training course or another board-approved training course prior to the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980.4(3)</w:t>
      </w:r>
      <w:r>
        <w:rPr>
          <w:rFonts w:ascii="Times New Roman" w:hAnsi="Times New Roman"/>
          <w:b w:val="false"/>
          <w:i w:val="false"/>
          <w:color w:val="000000"/>
          <w:sz w:val="22"/>
        </w:rPr>
        <w:t> </w:t>
      </w:r>
      <w:r>
        <w:rPr>
          <w:rFonts w:ascii="Times New Roman" w:hAnsi="Times New Roman"/>
          <w:b w:val="false"/>
          <w:i w:val="false"/>
          <w:color w:val="000000"/>
          <w:sz w:val="22"/>
        </w:rPr>
        <w:t xml:space="preserve">Preceptor has not had the preceptor’s nursing home administrator license disciplined, limited, suspended, or placed on probation during the one year immediately prior to the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980.4(4)</w:t>
      </w:r>
      <w:r>
        <w:rPr>
          <w:rFonts w:ascii="Times New Roman" w:hAnsi="Times New Roman"/>
          <w:b w:val="false"/>
          <w:i w:val="false"/>
          <w:color w:val="000000"/>
          <w:sz w:val="22"/>
        </w:rPr>
        <w:t> </w:t>
      </w:r>
      <w:r>
        <w:rPr>
          <w:rFonts w:ascii="Times New Roman" w:hAnsi="Times New Roman"/>
          <w:b w:val="false"/>
          <w:i w:val="false"/>
          <w:color w:val="000000"/>
          <w:sz w:val="22"/>
        </w:rPr>
        <w:t>Is not related to the training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980.4(5)</w:t>
      </w:r>
      <w:r>
        <w:rPr>
          <w:rFonts w:ascii="Times New Roman" w:hAnsi="Times New Roman"/>
          <w:b w:val="false"/>
          <w:i w:val="false"/>
          <w:color w:val="000000"/>
          <w:sz w:val="22"/>
        </w:rPr>
        <w:t> </w:t>
      </w:r>
      <w:r>
        <w:rPr>
          <w:rFonts w:ascii="Times New Roman" w:hAnsi="Times New Roman"/>
          <w:b w:val="false"/>
          <w:i w:val="false"/>
          <w:color w:val="000000"/>
          <w:sz w:val="22"/>
        </w:rPr>
        <w:t>Is approved by board staff prior to preceptorship.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481—980.5</w:t>
      </w:r>
      <w:r>
        <w:rPr>
          <w:rFonts w:ascii="Times New Roman" w:hAnsi="Times New Roman"/>
          <w:b/>
          <w:i w:val="false"/>
          <w:color w:val="000000"/>
          <w:sz w:val="22"/>
        </w:rPr>
        <w:t xml:space="preserve">(155) </w:t>
      </w:r>
      <w:r>
        <w:rPr>
          <w:rFonts w:ascii="Times New Roman" w:hAnsi="Times New Roman"/>
          <w:b/>
          <w:i w:val="false"/>
          <w:color w:val="000000"/>
          <w:sz w:val="22"/>
        </w:rPr>
        <w:t xml:space="preserve">Provisional license. </w:t>
      </w:r>
      <w:r>
        <w:rPr>
          <w:rFonts w:ascii="Times New Roman" w:hAnsi="Times New Roman"/>
          <w:b w:val="false"/>
          <w:i w:val="false"/>
          <w:color w:val="000000"/>
          <w:sz w:val="22"/>
        </w:rPr>
        <w:t>A provisional license may be issued to an administrator appointed on a temporary basis to perform the duties of a nursing home administrator. A provisional license is considered a temporary appointment, and the person appointed may serve as an administrator for a period of time not to exceed 24 months in an entire career. The 24 months in service are not required to be consecutive; however, a new application is required for each appointment period. It is the responsibility of the approved provisional administrator to maintain documentation of the actual dates the administrator serves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980.5(1)</w:t>
      </w:r>
      <w:r>
        <w:rPr>
          <w:rFonts w:ascii="Times New Roman" w:hAnsi="Times New Roman"/>
          <w:b w:val="false"/>
          <w:i w:val="false"/>
          <w:color w:val="000000"/>
          <w:sz w:val="22"/>
        </w:rPr>
        <w:t> </w:t>
      </w:r>
      <w:r>
        <w:rPr>
          <w:rFonts w:ascii="Times New Roman" w:hAnsi="Times New Roman"/>
          <w:b w:val="false"/>
          <w:i w:val="false"/>
          <w:color w:val="000000"/>
          <w:sz w:val="22"/>
        </w:rPr>
        <w:t>The limited circumstances under which the request for a provisional appointment will be granted include the inability of the licensed administrator to perform the administrator’s duties, the death of the licensed administrator, or circumstances that prevent the immediate transfer of the licensed administrator’s duties to another licensed administrator. A provisional license will not be issued to a licensed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980.5(2)</w:t>
      </w:r>
      <w:r>
        <w:rPr>
          <w:rFonts w:ascii="Times New Roman" w:hAnsi="Times New Roman"/>
          <w:b w:val="false"/>
          <w:i w:val="false"/>
          <w:color w:val="000000"/>
          <w:sz w:val="22"/>
        </w:rPr>
        <w:t> </w:t>
      </w:r>
      <w:r>
        <w:rPr>
          <w:rFonts w:ascii="Times New Roman" w:hAnsi="Times New Roman"/>
          <w:b w:val="false"/>
          <w:i w:val="false"/>
          <w:color w:val="000000"/>
          <w:sz w:val="22"/>
        </w:rPr>
        <w:t>Application for a provisional license shall be in writing on forms prescribed by the board. Applicants will meet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employed on a full-time basis of no less than 40 hours per week to perform the duties of the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knowledgeable about the nursing home administrator’s domains of practice, including resident care, human resources, finance, physical environment, and leadership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without a history of unprofessional conduct or denial of or disciplinary action against a license to practice nursing home administration or any other profession by any lawful licensing authority for reasons outlined in </w:t>
      </w:r>
      <w:hyperlink r:id="rId9">
        <w:r>
          <w:rPr>
            <w:rStyle w:val="Hyperlink"/>
            <w:rFonts w:ascii="Times New Roman" w:hAnsi="Times New Roman"/>
            <w:b w:val="false"/>
            <w:i w:val="false"/>
            <w:color w:val="000000"/>
            <w:sz w:val="22"/>
          </w:rPr>
          <w:t>481—Chapter 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evidence to establish that the provisional appointment will not exceed the lifetime maximum period of 24 calendar months in duration. For any period in which the applicant previously served as a provisional administrator, written employment verification or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evidence that the provisional appointment complies with the requirements in </w:t>
      </w:r>
      <w:hyperlink r:id="rId10">
        <w:r>
          <w:rPr>
            <w:rStyle w:val="Hyperlink"/>
            <w:rFonts w:ascii="Times New Roman" w:hAnsi="Times New Roman"/>
            <w:b w:val="false"/>
            <w:i w:val="false"/>
            <w:color w:val="000000"/>
            <w:sz w:val="22"/>
          </w:rPr>
          <w:t>481—subrule 58.8(4)</w:t>
        </w:r>
      </w:hyperlink>
      <w:r>
        <w:rPr>
          <w:rFonts w:ascii="Times New Roman" w:hAnsi="Times New Roman"/>
          <w:b w:val="false"/>
          <w:i w:val="false"/>
          <w:color w:val="000000"/>
          <w:sz w:val="22"/>
        </w:rPr>
        <w:t>.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980.5(3)</w:t>
      </w:r>
      <w:r>
        <w:rPr>
          <w:rFonts w:ascii="Times New Roman" w:hAnsi="Times New Roman"/>
          <w:b w:val="false"/>
          <w:i w:val="false"/>
          <w:color w:val="000000"/>
          <w:sz w:val="22"/>
        </w:rPr>
        <w:t> </w:t>
      </w:r>
      <w:r>
        <w:rPr>
          <w:rFonts w:ascii="Times New Roman" w:hAnsi="Times New Roman"/>
          <w:b w:val="false"/>
          <w:i w:val="false"/>
          <w:color w:val="000000"/>
          <w:sz w:val="22"/>
        </w:rPr>
        <w:t>Applications for an extension of the time period for the provisional appointment within the same facility do not require the payment of an additional fee, as long as all other requirements stated in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980.5(4)</w:t>
      </w:r>
      <w:r>
        <w:rPr>
          <w:rFonts w:ascii="Times New Roman" w:hAnsi="Times New Roman"/>
          <w:b w:val="false"/>
          <w:i w:val="false"/>
          <w:color w:val="000000"/>
          <w:sz w:val="22"/>
        </w:rPr>
        <w:t> </w:t>
      </w:r>
      <w:r>
        <w:rPr>
          <w:rFonts w:ascii="Times New Roman" w:hAnsi="Times New Roman"/>
          <w:b w:val="false"/>
          <w:i w:val="false"/>
          <w:color w:val="000000"/>
          <w:sz w:val="22"/>
        </w:rPr>
        <w:t>The board expressly reserves the right to withdraw approval of a provisional appointment. Withdrawal of approval will be based on information or circumstances warranting such action. The provisional administrator will be notified of the withdrawal of approval in writing by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481—980.6</w:t>
      </w:r>
      <w:r>
        <w:rPr>
          <w:rFonts w:ascii="Times New Roman" w:hAnsi="Times New Roman"/>
          <w:b/>
          <w:i w:val="false"/>
          <w:color w:val="000000"/>
          <w:sz w:val="22"/>
        </w:rPr>
        <w:t xml:space="preserve">(155)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nursing home administrator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1">
        <w:r>
          <w:rPr>
            <w:rStyle w:val="Hyperlink"/>
            <w:rFonts w:ascii="Times New Roman" w:hAnsi="Times New Roman"/>
            <w:b w:val="false"/>
            <w:i w:val="false"/>
            <w:color w:val="000000"/>
            <w:sz w:val="22"/>
          </w:rPr>
          <w:t>481—980.2</w:t>
        </w:r>
      </w:hyperlink>
      <w:r>
        <w:rPr>
          <w:rFonts w:ascii="Times New Roman" w:hAnsi="Times New Roman"/>
          <w:b w:val="false"/>
          <w:i w:val="false"/>
          <w:color w:val="000000"/>
          <w:sz w:val="22"/>
        </w:rPr>
        <w:t xml:space="preserve">(155),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evidence of an active license as a nursing home administrator for at least two years just prior to application, or meets the qualifications outlined in rule </w:t>
      </w:r>
      <w:hyperlink r:id="rId12">
        <w:r>
          <w:rPr>
            <w:rStyle w:val="Hyperlink"/>
            <w:rFonts w:ascii="Times New Roman" w:hAnsi="Times New Roman"/>
            <w:b w:val="false"/>
            <w:i w:val="false"/>
            <w:color w:val="000000"/>
            <w:sz w:val="22"/>
          </w:rPr>
          <w:t>481—980.2</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481—980.7</w:t>
      </w:r>
      <w:r>
        <w:rPr>
          <w:rFonts w:ascii="Times New Roman" w:hAnsi="Times New Roman"/>
          <w:b/>
          <w:i w:val="false"/>
          <w:color w:val="000000"/>
          <w:sz w:val="22"/>
        </w:rPr>
        <w:t xml:space="preserve">(147,155)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nursing home administration will begin on January 1 of each even-numbered year and end on December 31 of the next odd-numbered year. All licensees will renew on a biennial basis.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4">
        <w:r>
          <w:rPr>
            <w:rStyle w:val="Hyperlink"/>
            <w:rFonts w:ascii="Times New Roman" w:hAnsi="Times New Roman"/>
            <w:b w:val="false"/>
            <w:i w:val="false"/>
            <w:color w:val="000000"/>
            <w:sz w:val="22"/>
          </w:rPr>
          <w:t>481—981.2</w:t>
        </w:r>
      </w:hyperlink>
      <w:r>
        <w:rPr>
          <w:rFonts w:ascii="Times New Roman" w:hAnsi="Times New Roman"/>
          <w:b w:val="false"/>
          <w:i w:val="false"/>
          <w:color w:val="000000"/>
          <w:sz w:val="22"/>
        </w:rPr>
        <w:t xml:space="preserve">(272C) and the mandatory reporting requirements of subrule </w:t>
      </w:r>
      <w:hyperlink r:id="rId15">
        <w:r>
          <w:rPr>
            <w:rStyle w:val="Hyperlink"/>
            <w:rFonts w:ascii="Times New Roman" w:hAnsi="Times New Roman"/>
            <w:b w:val="false"/>
            <w:i w:val="false"/>
            <w:color w:val="000000"/>
            <w:sz w:val="22"/>
          </w:rPr>
          <w:t>980.7(8)</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this rule are met. If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6">
        <w:r>
          <w:rPr>
            <w:rStyle w:val="Hyperlink"/>
            <w:rFonts w:ascii="Times New Roman" w:hAnsi="Times New Roman"/>
            <w:b w:val="false"/>
            <w:i w:val="false"/>
            <w:color w:val="000000"/>
            <w:sz w:val="22"/>
          </w:rPr>
          <w:t>481—subrule 507.10(3)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as a nursing home administrator in Iowa until the license is reactivated.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980.7(7)</w:t>
      </w:r>
      <w:r>
        <w:rPr>
          <w:rFonts w:ascii="Times New Roman" w:hAnsi="Times New Roman"/>
          <w:b w:val="false"/>
          <w:i w:val="false"/>
          <w:color w:val="000000"/>
          <w:sz w:val="22"/>
        </w:rPr>
        <w:t> </w:t>
      </w:r>
      <w:r>
        <w:rPr>
          <w:rFonts w:ascii="Times New Roman" w:hAnsi="Times New Roman"/>
          <w:b w:val="false"/>
          <w:i w:val="false"/>
          <w:color w:val="000000"/>
          <w:sz w:val="22"/>
        </w:rPr>
        <w:t>Licensees will display their license certificate and proof of active licensure will be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980.7(8)</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subrule </w:t>
      </w:r>
      <w:r>
        <w:rPr>
          <w:rFonts w:ascii="Times New Roman" w:hAnsi="Times New Roman"/>
          <w:b w:val="false"/>
          <w:i w:val="false"/>
          <w:color w:val="000000"/>
          <w:sz w:val="22"/>
        </w:rPr>
        <w:t>980.7(8)</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reactivation application and pay the nonrefundable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nursing home administrator by satisfying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nursing home administrator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2/23/71]</w:t>
      </w:r>
    </w:p>
    <w:p>
      <w:pPr>
        <w:spacing w:before="0" w:after="0"/>
        <w:ind w:left="120"/>
        <w:jc w:val="center"/>
      </w:pPr>
      <w:r>
        <w:rPr>
          <w:rFonts w:ascii="Times New Roman" w:hAnsi="Times New Roman"/>
          <w:b w:val="false"/>
          <w:i w:val="false"/>
          <w:color w:val="000000"/>
          <w:sz w:val="21"/>
        </w:rPr>
        <w:t>[Filed 3/19/76, Notice 2/9/76—published 4/5/76, effective 5/10/76]</w:t>
      </w:r>
    </w:p>
    <w:p>
      <w:pPr>
        <w:spacing w:before="0" w:after="0"/>
        <w:ind w:left="120"/>
        <w:jc w:val="center"/>
      </w:pPr>
      <w:r>
        <w:rPr>
          <w:rFonts w:ascii="Times New Roman" w:hAnsi="Times New Roman"/>
          <w:b w:val="false"/>
          <w:i w:val="false"/>
          <w:color w:val="000000"/>
          <w:sz w:val="21"/>
        </w:rPr>
        <w:t>[Filed 11/18/76, Notice 9/22/76—published 12/15/76, effective 1/19/77]</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12/8/78, Notice 9/20/78—published 12/27/78, effective 1/31/79]</w:t>
      </w:r>
    </w:p>
    <w:p>
      <w:pPr>
        <w:spacing w:before="0" w:after="0"/>
        <w:ind w:left="120"/>
        <w:jc w:val="center"/>
      </w:pPr>
      <w:r>
        <w:rPr>
          <w:rFonts w:ascii="Times New Roman" w:hAnsi="Times New Roman"/>
          <w:b w:val="false"/>
          <w:i w:val="false"/>
          <w:color w:val="000000"/>
          <w:sz w:val="21"/>
        </w:rPr>
        <w:t>[Filed 10/19/79, Notice 8/22/79—published 11/14/79, effective 12/21/79]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12/18/79—published 1/9/80, effective 12/18/79]</w:t>
      </w:r>
    </w:p>
    <w:p>
      <w:pPr>
        <w:spacing w:before="0" w:after="0"/>
        <w:ind w:left="120"/>
        <w:jc w:val="center"/>
      </w:pPr>
      <w:r>
        <w:rPr>
          <w:rFonts w:ascii="Times New Roman" w:hAnsi="Times New Roman"/>
          <w:b w:val="false"/>
          <w:i w:val="false"/>
          <w:color w:val="000000"/>
          <w:sz w:val="21"/>
        </w:rPr>
        <w:t>[Filed 5/7/80, Notice 4/2/80—published 5/28/80, effective 7/7/80]</w:t>
      </w:r>
    </w:p>
    <w:p>
      <w:pPr>
        <w:spacing w:before="0" w:after="0"/>
        <w:ind w:left="120"/>
        <w:jc w:val="center"/>
      </w:pPr>
      <w:r>
        <w:rPr>
          <w:rFonts w:ascii="Times New Roman" w:hAnsi="Times New Roman"/>
          <w:b w:val="false"/>
          <w:i w:val="false"/>
          <w:color w:val="000000"/>
          <w:sz w:val="21"/>
        </w:rPr>
        <w:t>[Filed emergency 6/9/80—published 7/9/80, effective 7/7/80]</w:t>
      </w:r>
    </w:p>
    <w:p>
      <w:pPr>
        <w:spacing w:before="0" w:after="0"/>
        <w:ind w:left="120"/>
        <w:jc w:val="center"/>
      </w:pPr>
      <w:r>
        <w:rPr>
          <w:rFonts w:ascii="Times New Roman" w:hAnsi="Times New Roman"/>
          <w:b w:val="false"/>
          <w:i w:val="false"/>
          <w:color w:val="000000"/>
          <w:sz w:val="21"/>
        </w:rPr>
        <w:t>[Filed 3/13/81, Notice 12/24/80—published 4/1/81, effective 5/7/81]</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3/18/82, Notice 2/3/82—published 4/14/82, effective 5/19/82]</w:t>
      </w:r>
    </w:p>
    <w:p>
      <w:pPr>
        <w:spacing w:before="0" w:after="0"/>
        <w:ind w:left="120"/>
        <w:jc w:val="center"/>
      </w:pPr>
      <w:r>
        <w:rPr>
          <w:rFonts w:ascii="Times New Roman" w:hAnsi="Times New Roman"/>
          <w:b w:val="false"/>
          <w:i w:val="false"/>
          <w:color w:val="000000"/>
          <w:sz w:val="21"/>
        </w:rPr>
        <w:t>[Filed 10/6/83, Notice 7/20/83—published 10/26/83, effective 12/1/83]</w:t>
      </w:r>
    </w:p>
    <w:p>
      <w:pPr>
        <w:spacing w:before="0" w:after="0"/>
        <w:ind w:left="120"/>
        <w:jc w:val="center"/>
      </w:pPr>
      <w:r>
        <w:rPr>
          <w:rFonts w:ascii="Times New Roman" w:hAnsi="Times New Roman"/>
          <w:b w:val="false"/>
          <w:i w:val="false"/>
          <w:color w:val="000000"/>
          <w:sz w:val="21"/>
        </w:rPr>
        <w:t>[Filed emergency 11/30/83 after Notice 10/26/83—published 12/21/83, effective 11/30/83]</w:t>
      </w:r>
    </w:p>
    <w:p>
      <w:pPr>
        <w:spacing w:before="0" w:after="0"/>
        <w:ind w:left="120"/>
        <w:jc w:val="center"/>
      </w:pPr>
      <w:r>
        <w:rPr>
          <w:rFonts w:ascii="Times New Roman" w:hAnsi="Times New Roman"/>
          <w:b w:val="false"/>
          <w:i w:val="false"/>
          <w:color w:val="000000"/>
          <w:sz w:val="21"/>
        </w:rPr>
        <w:t>[Filed 5/11/84, Notice 3/14/84—published 6/6/84, effective 7/12/84]</w:t>
      </w:r>
    </w:p>
    <w:p>
      <w:pPr>
        <w:spacing w:before="0" w:after="0"/>
        <w:ind w:left="120"/>
        <w:jc w:val="center"/>
      </w:pPr>
      <w:r>
        <w:rPr>
          <w:rFonts w:ascii="Times New Roman" w:hAnsi="Times New Roman"/>
          <w:b w:val="false"/>
          <w:i w:val="false"/>
          <w:color w:val="000000"/>
          <w:sz w:val="21"/>
        </w:rPr>
        <w:t>[Filed 7/13/84, Notice 6/6/84—published 8/1/84, effective 9/5/84]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11/8/84, Notice 9/12/84—published 12/5/84, effective 1/9/85]</w:t>
      </w:r>
    </w:p>
    <w:p>
      <w:pPr>
        <w:spacing w:before="0" w:after="0"/>
        <w:ind w:left="120"/>
        <w:jc w:val="center"/>
      </w:pPr>
      <w:r>
        <w:rPr>
          <w:rFonts w:ascii="Times New Roman" w:hAnsi="Times New Roman"/>
          <w:b w:val="false"/>
          <w:i w:val="false"/>
          <w:color w:val="000000"/>
          <w:sz w:val="21"/>
        </w:rPr>
        <w:t>[Filed 1/11/85, Notice 11/7/84—published 1/30/85, effective 3/6/85]</w:t>
      </w:r>
    </w:p>
    <w:p>
      <w:pPr>
        <w:spacing w:before="0" w:after="0"/>
        <w:ind w:left="120"/>
        <w:jc w:val="center"/>
      </w:pPr>
      <w:r>
        <w:rPr>
          <w:rFonts w:ascii="Times New Roman" w:hAnsi="Times New Roman"/>
          <w:b w:val="false"/>
          <w:i w:val="false"/>
          <w:color w:val="000000"/>
          <w:sz w:val="21"/>
        </w:rPr>
        <w:t>[Filed 4/4/85, Notice 12/5/84—published 4/24/85, effective 5/29/85]</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2/17/89, Notice 12/14/88—published 3/8/89, effective 4/12/89]</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4/13/90, Notice 2/21/90—published 5/2/90, effective 6/6/90]</w:t>
      </w:r>
    </w:p>
    <w:p>
      <w:pPr>
        <w:spacing w:before="0" w:after="0"/>
        <w:ind w:left="120"/>
        <w:jc w:val="center"/>
      </w:pPr>
      <w:r>
        <w:rPr>
          <w:rFonts w:ascii="Times New Roman" w:hAnsi="Times New Roman"/>
          <w:b w:val="false"/>
          <w:i w:val="false"/>
          <w:color w:val="000000"/>
          <w:sz w:val="21"/>
        </w:rPr>
        <w:t>[Filed 7/20/90, Notice 4/4/90—published 8/8/90, effective 9/12/90]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3/15/91, Notice 12/26/90—published 4/3/91, effective 5/8/91]</w:t>
      </w:r>
    </w:p>
    <w:p>
      <w:pPr>
        <w:spacing w:before="0" w:after="0"/>
        <w:ind w:left="120"/>
        <w:jc w:val="center"/>
      </w:pPr>
      <w:r>
        <w:rPr>
          <w:rFonts w:ascii="Times New Roman" w:hAnsi="Times New Roman"/>
          <w:b w:val="false"/>
          <w:i w:val="false"/>
          <w:color w:val="000000"/>
          <w:sz w:val="21"/>
        </w:rPr>
        <w:t>[Filed emergency 8/16/91—published 9/4/91, effective 8/16/91]</w:t>
      </w:r>
    </w:p>
    <w:p>
      <w:pPr>
        <w:spacing w:before="0" w:after="0"/>
        <w:ind w:left="120"/>
        <w:jc w:val="center"/>
      </w:pPr>
      <w:r>
        <w:rPr>
          <w:rFonts w:ascii="Times New Roman" w:hAnsi="Times New Roman"/>
          <w:b w:val="false"/>
          <w:i w:val="false"/>
          <w:color w:val="000000"/>
          <w:sz w:val="21"/>
        </w:rPr>
        <w:t>[Filed 2/13/92, Notice 12/25/91—published 3/4/92, effective 4/8/92]</w:t>
      </w:r>
    </w:p>
    <w:p>
      <w:pPr>
        <w:spacing w:before="0" w:after="0"/>
        <w:ind w:left="120"/>
        <w:jc w:val="center"/>
      </w:pPr>
      <w:r>
        <w:rPr>
          <w:rFonts w:ascii="Times New Roman" w:hAnsi="Times New Roman"/>
          <w:b w:val="false"/>
          <w:i w:val="false"/>
          <w:color w:val="000000"/>
          <w:sz w:val="21"/>
        </w:rPr>
        <w:t>[Filed 8/25/95, Notice 3/15/95—published 9/13/95, effective 10/18/95]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10/21/04, Notice 8/18/04—published 11/10/04, effective 12/15/04]</w:t>
      </w:r>
    </w:p>
    <w:p>
      <w:pPr>
        <w:spacing w:before="0" w:after="0"/>
        <w:ind w:left="120"/>
        <w:jc w:val="center"/>
      </w:pPr>
      <w:r>
        <w:rPr>
          <w:rFonts w:ascii="Times New Roman" w:hAnsi="Times New Roman"/>
          <w:b w:val="false"/>
          <w:i w:val="false"/>
          <w:color w:val="000000"/>
          <w:sz w:val="21"/>
        </w:rPr>
        <w:t>[Filed 7/21/05, Notice 4/27/05—published 8/17/05, effective 9/21/05]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10/19/06, Notice 8/2/06—published 11/8/06, effective 12/13/06]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5070C</w:t>
      </w:r>
      <w:r>
        <w:rPr>
          <w:rFonts w:ascii="Times New Roman" w:hAnsi="Times New Roman"/>
          <w:b w:val="false"/>
          <w:i w:val="false"/>
          <w:color w:val="000000"/>
          <w:sz w:val="21"/>
        </w:rPr>
        <w:t xml:space="preserve"> (Notice ARC 4936C,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6995C</w:t>
      </w:r>
      <w:r>
        <w:rPr>
          <w:rFonts w:ascii="Times New Roman" w:hAnsi="Times New Roman"/>
          <w:b w:val="false"/>
          <w:i w:val="false"/>
          <w:color w:val="000000"/>
          <w:sz w:val="21"/>
        </w:rPr>
        <w:t xml:space="preserve"> (Notice ARC 6657C,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7971C</w:t>
      </w:r>
      <w:r>
        <w:rPr>
          <w:rFonts w:ascii="Times New Roman" w:hAnsi="Times New Roman"/>
          <w:b w:val="false"/>
          <w:i w:val="false"/>
          <w:color w:val="000000"/>
          <w:sz w:val="21"/>
        </w:rPr>
        <w:t xml:space="preserve"> (Notice ARC 7476C,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9469C</w:t>
      </w:r>
      <w:r>
        <w:rPr>
          <w:rFonts w:ascii="Times New Roman" w:hAnsi="Times New Roman"/>
          <w:b w:val="false"/>
          <w:i w:val="false"/>
          <w:color w:val="000000"/>
          <w:sz w:val="21"/>
        </w:rPr>
        <w:t xml:space="preserve"> (Amended Notice ARC 9273C, IAB 5/14/25; </w:t>
      </w:r>
      <w:r>
        <w:rPr>
          <w:rFonts w:ascii="Times New Roman" w:hAnsi="Times New Roman"/>
          <w:b w:val="false"/>
          <w:i w:val="false"/>
          <w:color w:val="000000"/>
          <w:sz w:val="21"/>
        </w:rPr>
        <w:t>Notice ARC 8948C, IAB 2/19/25)</w:t>
      </w:r>
      <w:r>
        <w:rPr>
          <w:rFonts w:ascii="Times New Roman" w:hAnsi="Times New Roman"/>
          <w:b w:val="false"/>
          <w:i w:val="false"/>
          <w:color w:val="000000"/>
          <w:sz w:val="21"/>
        </w:rPr>
        <w:t>, IAB 8/6/25, effective 9/10/25]</w:t>
      </w:r>
      <w:r>
        <w:rPr>
          <w:rFonts w:ascii="Times New Roman" w:hAnsi="Times New Roman"/>
          <w:b w:val="false"/>
          <w:i w:val="false"/>
          <w:color w:val="000000"/>
          <w:sz w:val="11"/>
          <w:vertAlign w:val="superscript"/>
        </w:rPr>
        <w:t>4</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 600—2.7 delayed by the Administrative Rules Review Committee 70 days.</w:t>
      </w:r>
    </w:p>
    <w:p>
      <w:pPr>
        <w:pBdr>
          <w:bottom w:space="2"/>
        </w:pBdr>
        <w:spacing w:before="0" w:after="0"/>
        <w:ind w:left="120"/>
        <w:jc w:val="both"/>
      </w:pPr>
      <w:r>
        <w:rPr>
          <w:rFonts w:ascii="Times New Roman" w:hAnsi="Times New Roman"/>
          <w:b w:val="false"/>
          <w:i w:val="false"/>
          <w:color w:val="000000"/>
          <w:sz w:val="22"/>
        </w:rPr>
        <w:t>Effective date of 645—subrule 141.3(2), delayed until adjournment of the 1996 General Assembly by the Administrative Rules Review Committee at its meeting held October 10, 1995.</w:t>
      </w:r>
    </w:p>
    <w:p>
      <w:pPr>
        <w:pBdr>
          <w:bottom w:space="2"/>
        </w:pBdr>
        <w:spacing w:before="0" w:after="0"/>
        <w:ind w:left="120"/>
        <w:jc w:val="both"/>
      </w:pPr>
      <w:r>
        <w:rPr>
          <w:rFonts w:ascii="Times New Roman" w:hAnsi="Times New Roman"/>
          <w:b w:val="false"/>
          <w:i w:val="false"/>
          <w:color w:val="000000"/>
          <w:sz w:val="22"/>
        </w:rPr>
        <w:t>March 28, 2012, effective date of 141.9(1) delayed 70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September 10, 2025, effective date of amendments to ch 980 [</w:t>
      </w:r>
      <w:r>
        <w:rPr>
          <w:rFonts w:ascii="Times New Roman" w:hAnsi="Times New Roman"/>
          <w:b/>
          <w:i w:val="false"/>
          <w:color w:val="000000"/>
          <w:sz w:val="22"/>
        </w:rPr>
        <w:t>ARC 9469C</w:t>
      </w:r>
      <w:r>
        <w:rPr>
          <w:rFonts w:ascii="Times New Roman" w:hAnsi="Times New Roman"/>
          <w:b w:val="false"/>
          <w:i w:val="false"/>
          <w:color w:val="000000"/>
          <w:sz w:val="22"/>
        </w:rPr>
        <w:t>] delayed 70 days by the Administrative Rules Review Committee at its meeting held September 8, 2025.</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80.15.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0.pdf" Type="http://schemas.openxmlformats.org/officeDocument/2006/relationships/hyperlink" Id="rId7"/>
    <Relationship TargetMode="External" Target="https://www.legis.iowa.gov/docs/iac/rule/481.980.4.pdf" Type="http://schemas.openxmlformats.org/officeDocument/2006/relationships/hyperlink" Id="rId8"/>
    <Relationship TargetMode="External" Target="https://www.legis.iowa.gov/docs/iac/chapter/481.982.pdf" Type="http://schemas.openxmlformats.org/officeDocument/2006/relationships/hyperlink" Id="rId9"/>
    <Relationship TargetMode="External" Target="https://www.legis.iowa.gov/docs/iac/rule/481.58.8.pdf" Type="http://schemas.openxmlformats.org/officeDocument/2006/relationships/hyperlink" Id="rId10"/>
    <Relationship TargetMode="External" Target="https://www.legis.iowa.gov/docs/iac/rule/481.980.2.pdf" Type="http://schemas.openxmlformats.org/officeDocument/2006/relationships/hyperlink" Id="rId11"/>
    <Relationship TargetMode="External" Target="https://www.legis.iowa.gov/docs/iac/rule/481.980.2.pdf" Type="http://schemas.openxmlformats.org/officeDocument/2006/relationships/hyperlink" Id="rId12"/>
    <Relationship TargetMode="External" Target="https://www.legis.iowa.gov/docs/iac/rule/481.501.1.pdf" Type="http://schemas.openxmlformats.org/officeDocument/2006/relationships/hyperlink" Id="rId13"/>
    <Relationship TargetMode="External" Target="https://www.legis.iowa.gov/docs/iac/rule/481.981.2.pdf" Type="http://schemas.openxmlformats.org/officeDocument/2006/relationships/hyperlink" Id="rId14"/>
    <Relationship TargetMode="External" Target="https://www.legis.iowa.gov/docs/iac/rule/481.980.7.pdf" Type="http://schemas.openxmlformats.org/officeDocument/2006/relationships/hyperlink" Id="rId15"/>
    <Relationship TargetMode="External" Target="https://www.legis.iowa.gov/docs/iac/rule/481.507.10.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55.pdf" Type="http://schemas.openxmlformats.org/officeDocument/2006/relationships/hyperlink" Id="rId19"/>
    <Relationship TargetMode="External" Target="https://www.legis.iowa.gov/docs/ico/chapter/272C.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