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965</w:t>
      </w:r>
    </w:p>
    <w:p>
      <w:pPr>
        <w:spacing w:before="0" w:after="0"/>
        <w:ind w:left="120"/>
        <w:jc w:val="center"/>
      </w:pPr>
      <w:r>
        <w:rPr>
          <w:rFonts w:ascii="Times New Roman" w:hAnsi="Times New Roman"/>
          <w:b w:val="false"/>
          <w:i w:val="false"/>
          <w:color w:val="000000"/>
          <w:sz w:val="21"/>
        </w:rPr>
        <w:t xml:space="preserve">LICENSURE OF EMPLOYERS FOR SIGN LANGUAGE </w:t>
      </w:r>
      <w:r>
        <w:br/>
      </w:r>
      <w:r>
        <w:rPr>
          <w:rFonts w:ascii="Times New Roman" w:hAnsi="Times New Roman"/>
          <w:b w:val="false"/>
          <w:i w:val="false"/>
          <w:color w:val="000000"/>
          <w:sz w:val="21"/>
        </w:rPr>
        <w:t>INTERPRETERS AND TRANSLITERATORS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481—965.1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 </w:t>
      </w:r>
      <w:r>
        <w:rPr>
          <w:rFonts w:ascii="Times New Roman" w:hAnsi="Times New Roman"/>
          <w:b w:val="false"/>
          <w:i w:val="false"/>
          <w:color w:val="000000"/>
          <w:sz w:val="22"/>
        </w:rPr>
        <w:t>For the purpose of these rules, the following definition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 employer that employs a person to provide interpreting or transliterating services to the employer’s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employed by an employer licensed pursuant to this chapter to provide interpreting or transliterating services to the employer’s employees is not required to be licensed pursuant to this chapter, but shall meet the requirements for licensure under Iowa Code section </w:t>
      </w:r>
      <w:hyperlink r:id="rId5">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The interpreter will not interpret or transliterate prior to providing evidence of meeting licensure requirements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will submit a completed online licensure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Employers will submit the following information pertaining to their employed interpreters or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one of the examinations or proof of certification as outlined in </w:t>
      </w:r>
      <w:hyperlink r:id="rId6">
        <w:r>
          <w:rPr>
            <w:rStyle w:val="Hyperlink"/>
            <w:rFonts w:ascii="Times New Roman" w:hAnsi="Times New Roman"/>
            <w:b w:val="false"/>
            <w:i w:val="false"/>
            <w:color w:val="000000"/>
            <w:sz w:val="22"/>
          </w:rPr>
          <w:t>481—paragraph 961.2(1)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Employers will submit required information for new interpreters or transliterators to the board office within 30 days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Consumers will be provided information to file a complaint with the department of inspections, appeals, and licensing to address any concerns with sign language interpretation or transliteration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481—965.3</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965.3(2)</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attestation that the licensee’s employees providing interpreting or transliterating services meet the continuing education requirements as provided in </w:t>
      </w:r>
      <w:hyperlink r:id="rId7">
        <w:r>
          <w:rPr>
            <w:rStyle w:val="Hyperlink"/>
            <w:rFonts w:ascii="Times New Roman" w:hAnsi="Times New Roman"/>
            <w:b w:val="false"/>
            <w:i w:val="false"/>
            <w:color w:val="000000"/>
            <w:sz w:val="22"/>
          </w:rPr>
          <w:t>481—Chapter 962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8">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965.3(6)</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cannot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965.4(2)</w:t>
      </w:r>
      <w:r>
        <w:rPr>
          <w:rFonts w:ascii="Times New Roman" w:hAnsi="Times New Roman"/>
          <w:b w:val="false"/>
          <w:i w:val="false"/>
          <w:color w:val="000000"/>
          <w:sz w:val="22"/>
        </w:rPr>
        <w:t> </w:t>
      </w:r>
      <w:r>
        <w:rPr>
          <w:rFonts w:ascii="Times New Roman" w:hAnsi="Times New Roman"/>
          <w:b w:val="false"/>
          <w:i w:val="false"/>
          <w:color w:val="000000"/>
          <w:sz w:val="22"/>
        </w:rPr>
        <w:t>Submit the following information pertaining to the licensee’s employed interpreters or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and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one of the examinations or proof of certification as outlined in </w:t>
      </w:r>
      <w:hyperlink r:id="rId9">
        <w:r>
          <w:rPr>
            <w:rStyle w:val="Hyperlink"/>
            <w:rFonts w:ascii="Times New Roman" w:hAnsi="Times New Roman"/>
            <w:b w:val="false"/>
            <w:i w:val="false"/>
            <w:color w:val="000000"/>
            <w:sz w:val="22"/>
          </w:rPr>
          <w:t>481—paragraph 961.2(1)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employing sign language interpreters or transliterators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481—965.6</w:t>
      </w:r>
      <w:r>
        <w:rPr>
          <w:rFonts w:ascii="Times New Roman" w:hAnsi="Times New Roman"/>
          <w:b/>
          <w:i w:val="false"/>
          <w:color w:val="000000"/>
          <w:sz w:val="22"/>
        </w:rPr>
        <w:t xml:space="preserve">(154E,272C) </w:t>
      </w:r>
      <w:r>
        <w:rPr>
          <w:rFonts w:ascii="Times New Roman" w:hAnsi="Times New Roman"/>
          <w:b/>
          <w:i w:val="false"/>
          <w:color w:val="000000"/>
          <w:sz w:val="22"/>
        </w:rPr>
        <w:t xml:space="preserve">License discipline. </w:t>
      </w:r>
      <w:r>
        <w:rPr>
          <w:rFonts w:ascii="Times New Roman" w:hAnsi="Times New Roman"/>
          <w:b w:val="false"/>
          <w:i w:val="false"/>
          <w:color w:val="000000"/>
          <w:sz w:val="22"/>
        </w:rPr>
        <w:t xml:space="preserve">The board may impose any of the disciplinary sanctions provided in Iowa Code section </w:t>
      </w:r>
      <w:hyperlink r:id="rId1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acts or offenses listed in 481—Chapter </w:t>
      </w:r>
      <w:hyperlink r:id="rId1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or 481—Chapter </w:t>
      </w:r>
      <w:hyperlink r:id="rId12">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9318C</w:t>
      </w:r>
      <w:r>
        <w:rPr>
          <w:rFonts w:ascii="Times New Roman" w:hAnsi="Times New Roman"/>
          <w:b w:val="false"/>
          <w:i w:val="false"/>
          <w:color w:val="000000"/>
          <w:sz w:val="21"/>
        </w:rPr>
        <w:t xml:space="preserve"> (Notice ARC 8955C,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E.3.pdf" Type="http://schemas.openxmlformats.org/officeDocument/2006/relationships/hyperlink" Id="rId5"/>
    <Relationship TargetMode="External" Target="https://www.legis.iowa.gov/docs/iac/rule/481.961.2.pdf" Type="http://schemas.openxmlformats.org/officeDocument/2006/relationships/hyperlink" Id="rId6"/>
    <Relationship TargetMode="External" Target="https://www.legis.iowa.gov/docs/iac/chapter/481.962.pdf" Type="http://schemas.openxmlformats.org/officeDocument/2006/relationships/hyperlink" Id="rId7"/>
    <Relationship TargetMode="External" Target="https://www.legis.iowa.gov/docs/iac/rule/481.507.18.pdf" Type="http://schemas.openxmlformats.org/officeDocument/2006/relationships/hyperlink" Id="rId8"/>
    <Relationship TargetMode="External" Target="https://www.legis.iowa.gov/docs/iac/rule/481.961.2.pdf" Type="http://schemas.openxmlformats.org/officeDocument/2006/relationships/hyperlink" Id="rId9"/>
    <Relationship TargetMode="External" Target="https://www.legis.iowa.gov/docs/ico/chapter/272C.3.pdf" Type="http://schemas.openxmlformats.org/officeDocument/2006/relationships/hyperlink" Id="rId10"/>
    <Relationship TargetMode="External" Target="https://www.legis.iowa.gov/docs/iac/chapter/481.504.pdf" Type="http://schemas.openxmlformats.org/officeDocument/2006/relationships/hyperlink" Id="rId11"/>
    <Relationship TargetMode="External" Target="https://www.legis.iowa.gov/docs/iac/chapter/481.963.pdf" Type="http://schemas.openxmlformats.org/officeDocument/2006/relationships/hyperlink" Id="rId12"/>
    <Relationship TargetMode="External" Target="https://www.legis.iowa.gov/docs/ico/chapter/154E.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