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963</w:t>
      </w:r>
    </w:p>
    <w:p>
      <w:pPr>
        <w:spacing w:before="0" w:after="0"/>
        <w:ind w:left="120"/>
        <w:jc w:val="center"/>
      </w:pPr>
      <w:r>
        <w:rPr>
          <w:rFonts w:ascii="Times New Roman" w:hAnsi="Times New Roman"/>
          <w:b w:val="false"/>
          <w:i w:val="false"/>
          <w:color w:val="000000"/>
          <w:sz w:val="21"/>
        </w:rPr>
        <w:t>DISCIPLINE FOR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481—963.1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an individual utilizing interpreting services who uses spoken English, American Sign Language, or a manual form of English, and in an interpreting situation or setting, the term “consumer” includes both the deaf or hard-of-hearing individual or individuals and the hearing individual or individuals present in such situation or setting.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481—963.2</w:t>
      </w:r>
      <w:r>
        <w:rPr>
          <w:rFonts w:ascii="Times New Roman" w:hAnsi="Times New Roman"/>
          <w:b/>
          <w:i w:val="false"/>
          <w:color w:val="000000"/>
          <w:sz w:val="22"/>
        </w:rPr>
        <w:t xml:space="preserve">(154E,272C)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481—363.2</w:t>
        </w:r>
      </w:hyperlink>
      <w:r>
        <w:rPr>
          <w:rFonts w:ascii="Times New Roman" w:hAnsi="Times New Roman"/>
          <w:b w:val="false"/>
          <w:i w:val="false"/>
          <w:color w:val="000000"/>
          <w:sz w:val="22"/>
        </w:rPr>
        <w:t xml:space="preserve">(154E,272C)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963.2(1)</w:t>
      </w:r>
      <w:r>
        <w:rPr>
          <w:rFonts w:ascii="Times New Roman" w:hAnsi="Times New Roman"/>
          <w:b w:val="false"/>
          <w:i w:val="false"/>
          <w:color w:val="000000"/>
          <w:sz w:val="22"/>
        </w:rPr>
        <w:t> </w:t>
      </w:r>
      <w:r>
        <w:rPr>
          <w:rFonts w:ascii="Times New Roman" w:hAnsi="Times New Roman"/>
          <w:b w:val="false"/>
          <w:i w:val="false"/>
          <w:color w:val="000000"/>
          <w:sz w:val="22"/>
        </w:rPr>
        <w:t xml:space="preserve">Unethical conduct. In accordance with Iowa Code section </w:t>
      </w:r>
      <w:hyperlink r:id="rId7">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(e.g., acts, knowledge, and practices) that constitutes unethical conduct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sexual activities or sexual contact with a consumer when there is a risk of exploitation or potential harm to the consumer or when the relationship could reasonably be expected to interfere with the interpreter’s or transliterator’s objectivity, competence, or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decline or to withdraw from an interpreting or transliterating assignment when the interpreter or transliterator does not possess the professional skills and knowledge required for the specific interpreting or transliterating situation or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refrain from providing advice or personal opinions or aligning with one person over another in the course of one’s professional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consumer on the basis of age, sex, race, creed, illness, marital status, political belief, religion, mental or physical disability or diagnosis,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inform a consumer when federal or state laws require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avoid a conflict of interest when there is a risk of exploitation or potential harm to the consumer or when the relationship could reasonably be expected to interfere with the interpreter’s objectivity, competence, or effectiveness; or failure to disclose to a consumer an actual or perceived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present a professional appearance that is not visually distracting and is appropriate to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temporary license holder to comply with the requirements of </w:t>
      </w:r>
      <w:hyperlink r:id="rId8">
        <w:r>
          <w:rPr>
            <w:rStyle w:val="Hyperlink"/>
            <w:rFonts w:ascii="Times New Roman" w:hAnsi="Times New Roman"/>
            <w:b w:val="false"/>
            <w:i w:val="false"/>
            <w:color w:val="000000"/>
            <w:sz w:val="22"/>
          </w:rPr>
          <w:t>481—subrule 961.2(6)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w:t>
      </w:r>
      <w:hyperlink r:id="rId11">
        <w:r>
          <w:rPr>
            <w:rStyle w:val="Hyperlink"/>
            <w:rFonts w:ascii="Times New Roman" w:hAnsi="Times New Roman"/>
            <w:b w:val="false"/>
            <w:i w:val="false"/>
            <w:color w:val="000000"/>
            <w:sz w:val="22"/>
          </w:rPr>
          <w:t> 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2/23/06, Notice 12/21/05—published 3/15/06, effective 4/19/06]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8373B</w:t>
      </w:r>
      <w:r>
        <w:rPr>
          <w:rFonts w:ascii="Times New Roman" w:hAnsi="Times New Roman"/>
          <w:b w:val="false"/>
          <w:i w:val="false"/>
          <w:color w:val="000000"/>
          <w:sz w:val="21"/>
        </w:rPr>
        <w:t xml:space="preserve"> (Notice ARC 8111B,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9568B</w:t>
      </w:r>
      <w:r>
        <w:rPr>
          <w:rFonts w:ascii="Times New Roman" w:hAnsi="Times New Roman"/>
          <w:b w:val="false"/>
          <w:i w:val="false"/>
          <w:color w:val="000000"/>
          <w:sz w:val="21"/>
        </w:rPr>
        <w:t xml:space="preserve"> (Notice ARC 9428B, IAB 3/23/11)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7831C</w:t>
      </w:r>
      <w:r>
        <w:rPr>
          <w:rFonts w:ascii="Times New Roman" w:hAnsi="Times New Roman"/>
          <w:b w:val="false"/>
          <w:i w:val="false"/>
          <w:color w:val="000000"/>
          <w:sz w:val="21"/>
        </w:rPr>
        <w:t xml:space="preserve"> (Notice ARC 7489C,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63.2.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47.55.pdf" Type="http://schemas.openxmlformats.org/officeDocument/2006/relationships/hyperlink" Id="rId7"/>
    <Relationship TargetMode="External" Target="https://www.legis.iowa.gov/docs/iac/rule/481.961.2.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4E.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