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941</w:t>
      </w:r>
    </w:p>
    <w:p>
      <w:pPr>
        <w:spacing w:before="0" w:after="0"/>
        <w:ind w:left="120"/>
        <w:jc w:val="center"/>
      </w:pPr>
      <w:r>
        <w:rPr>
          <w:rFonts w:ascii="Times New Roman" w:hAnsi="Times New Roman"/>
          <w:b w:val="false"/>
          <w:i w:val="false"/>
          <w:color w:val="000000"/>
          <w:sz w:val="21"/>
        </w:rPr>
        <w:t>LICENSURE OF ESTABLISHMENTS AND SCHOOLS OF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center"/>
      </w:pPr>
      <w:r>
        <w:rPr>
          <w:rFonts w:ascii="Times New Roman" w:hAnsi="Times New Roman"/>
          <w:b w:val="false"/>
          <w:i w:val="false"/>
          <w:color w:val="000000"/>
          <w:sz w:val="14"/>
        </w:rPr>
        <w:t>[Prior to 12/23/92, see 645—Chapter 60]</w:t>
      </w:r>
    </w:p>
    <w:p>
      <w:pPr>
        <w:spacing w:before="0" w:after="0"/>
        <w:ind w:left="120"/>
        <w:jc w:val="center"/>
      </w:pPr>
      <w:r>
        <w:rPr>
          <w:rFonts w:ascii="Times New Roman" w:hAnsi="Times New Roman"/>
          <w:b w:val="false"/>
          <w:i w:val="false"/>
          <w:color w:val="000000"/>
          <w:sz w:val="14"/>
        </w:rPr>
        <w:t>[Prior to 9/18/24, see Professional Licensure Division[645]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481—941.1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5">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means any of the following: a new owner of a sole proprietorship; the addition, removal, or replacement of any co-owner(s) in a partnership; or a change of controlling interest in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 area” </w:t>
      </w:r>
      <w:r>
        <w:rPr>
          <w:rFonts w:ascii="Times New Roman" w:hAnsi="Times New Roman"/>
          <w:b w:val="false"/>
          <w:i w:val="false"/>
          <w:color w:val="000000"/>
          <w:sz w:val="22"/>
        </w:rPr>
        <w:t>means the area of the school where the paying customers will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means a separate area to be used for storing and dispensing of supplies and sanitizing of all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“Establishment license” </w:t>
      </w:r>
      <w:r>
        <w:rPr>
          <w:rFonts w:ascii="Times New Roman" w:hAnsi="Times New Roman"/>
          <w:b w:val="false"/>
          <w:i w:val="false"/>
          <w:color w:val="000000"/>
          <w:sz w:val="22"/>
        </w:rPr>
        <w:t xml:space="preserve">means a license issued to an Iowa establishment, as defined in Iowa Code section </w:t>
      </w:r>
      <w:hyperlink r:id="rId7">
        <w:r>
          <w:rPr>
            <w:rStyle w:val="Hyperlink"/>
            <w:rFonts w:ascii="Times New Roman" w:hAnsi="Times New Roman"/>
            <w:b w:val="false"/>
            <w:i w:val="false"/>
            <w:color w:val="000000"/>
            <w:sz w:val="22"/>
          </w:rPr>
          <w:t>157.1(10A)</w:t>
        </w:r>
      </w:hyperlink>
      <w:r>
        <w:rPr>
          <w:rFonts w:ascii="Times New Roman" w:hAnsi="Times New Roman"/>
          <w:b w:val="false"/>
          <w:i w:val="false"/>
          <w:color w:val="000000"/>
          <w:sz w:val="22"/>
        </w:rPr>
        <w:t>, to provide barbering and cosmetology arts and sciences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“Legacy curriculum”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w:t>
      </w:r>
      <w:r>
        <w:rPr>
          <w:rFonts w:ascii="Times New Roman" w:hAnsi="Times New Roman"/>
          <w:b w:val="false"/>
          <w:i w:val="false"/>
          <w:color w:val="000000"/>
          <w:sz w:val="22"/>
        </w:rPr>
        <w:t>means a program allowing students in a school to experience barbering and cosmetology arts and sciences in a licensed establishment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“On-the-job trainer” </w:t>
      </w:r>
      <w:r>
        <w:rPr>
          <w:rFonts w:ascii="Times New Roman" w:hAnsi="Times New Roman"/>
          <w:b w:val="false"/>
          <w:i w:val="false"/>
          <w:color w:val="000000"/>
          <w:sz w:val="22"/>
        </w:rPr>
        <w:t>means the individual providing instruction and supervision of the apprenticeship program practical hours. This individual must be a licensee of the board in the discipline for which the individual is training, and the training must occur in a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 school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license” </w:t>
      </w:r>
      <w:r>
        <w:rPr>
          <w:rFonts w:ascii="Times New Roman" w:hAnsi="Times New Roman"/>
          <w:b w:val="false"/>
          <w:i w:val="false"/>
          <w:color w:val="000000"/>
          <w:sz w:val="22"/>
        </w:rPr>
        <w:t>means a license issued to an establishment that is a fixed location for the instruction of students in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 licensing. </w:t>
      </w:r>
      <w:r>
        <w:rPr>
          <w:rFonts w:ascii="Times New Roman" w:hAnsi="Times New Roman"/>
          <w:b w:val="false"/>
          <w:i w:val="false"/>
          <w:color w:val="000000"/>
          <w:sz w:val="22"/>
        </w:rPr>
        <w:t>No person shall operate an establishment unless the owner has obtained a license issued by the board. A separate enclosed area inside an establishment that is operated as an independent business for the purpose of providing barbering and cosmetology services shall be considered its own establishment and shall not operate unless an establishment license is obtained. To determine what defines an independent contractor versus an employee, persons should contact the Iowa division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 form accompanied by the appropriate fees payable by check or money order to the board of barbering and cosmetology arts and sciences. The fees are nonrefundable. The application shall be completed according to the instructions contained in the application and submitted 30 days prior to the anticipated opening day.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establishment shall meet the requirements for sanitary conditions established in </w:t>
      </w:r>
      <w:hyperlink r:id="rId8">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licensing. The establishment may be inspected for compliance with sanitation rules within 12 months following the issuance of the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may be for a fixed location or a location that is readily movable.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Stationary establishment. A stationary establishment license shall be issued for a specific location. A change in location or site of a stationary establishment shall result in the cancellation of the existing license and necessitate application for a new license and payment of the fee required by </w:t>
      </w:r>
      <w:hyperlink r:id="rId9">
        <w:r>
          <w:rPr>
            <w:rStyle w:val="Hyperlink"/>
            <w:rFonts w:ascii="Times New Roman" w:hAnsi="Times New Roman"/>
            <w:b w:val="false"/>
            <w:i w:val="false"/>
            <w:color w:val="000000"/>
            <w:sz w:val="22"/>
          </w:rPr>
          <w:t>481—subrule 507.2(7)</w:t>
        </w:r>
      </w:hyperlink>
      <w:r>
        <w:rPr>
          <w:rFonts w:ascii="Times New Roman" w:hAnsi="Times New Roman"/>
          <w:b w:val="false"/>
          <w:i w:val="false"/>
          <w:color w:val="000000"/>
          <w:sz w:val="22"/>
        </w:rPr>
        <w:t>. A change of address without a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Readily movable establishment. A readily movable establishment license shall be issued for a permanent physical address. The licensee is required to provide a permanent physical address for board correspondence. A readily movable establishment may operate in a legal parking spot or on private property, with the permission of the owner or the owner’s designee, anywhere in the state of Iowa, provided the readily movable establishment is operating in compliance with applicable federal and state transportation, environmental, and sanitary regulations, including those in this chapter and in </w:t>
      </w:r>
      <w:hyperlink r:id="rId1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Establishment owner’s contact information. The listed owner of either a stationary or readily movable establishment must update the board within 30 days of a change in contact information, which includes telephone number, email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w:t>
      </w:r>
      <w:r>
        <w:rPr>
          <w:rFonts w:ascii="Times New Roman" w:hAnsi="Times New Roman"/>
          <w:b w:val="false"/>
          <w:i w:val="false"/>
          <w:color w:val="000000"/>
          <w:sz w:val="22"/>
        </w:rPr>
        <w:t> </w:t>
      </w:r>
      <w:r>
        <w:rPr>
          <w:rFonts w:ascii="Times New Roman" w:hAnsi="Times New Roman"/>
          <w:b w:val="false"/>
          <w:i w:val="false"/>
          <w:color w:val="000000"/>
          <w:sz w:val="22"/>
        </w:rPr>
        <w:t>Business may commence at the establishment following activation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will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941.2(5)</w:t>
      </w:r>
      <w:r>
        <w:rPr>
          <w:rFonts w:ascii="Times New Roman" w:hAnsi="Times New Roman"/>
          <w:b w:val="false"/>
          <w:i w:val="false"/>
          <w:color w:val="000000"/>
          <w:sz w:val="22"/>
        </w:rPr>
        <w:t> </w:t>
      </w:r>
      <w:r>
        <w:rPr>
          <w:rFonts w:ascii="Times New Roman" w:hAnsi="Times New Roman"/>
          <w:b w:val="false"/>
          <w:i w:val="false"/>
          <w:color w:val="000000"/>
          <w:sz w:val="22"/>
        </w:rPr>
        <w:t>An establishment license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of an establishment shall require the issuance of a new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establishment cannot be sold if disciplinary actions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establishment owner sells the establishment, that owner must send the license certificate and a report of the sale to the board within ten days of the date on which the sale is final. The owner of the establishment on record shall retain responsibility for the establishment until the notice of sale is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request legal proof of the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or the address of an establishment changes, the owner shall notify the board within 30 days of such change. Additionally, the owner shall return the current certificate and pay the reissued certificate fee as specified in rule </w:t>
      </w:r>
      <w:hyperlink r:id="rId11">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481—941.3</w:t>
      </w:r>
      <w:r>
        <w:rPr>
          <w:rFonts w:ascii="Times New Roman" w:hAnsi="Times New Roman"/>
          <w:b/>
          <w:i w:val="false"/>
          <w:color w:val="000000"/>
          <w:sz w:val="22"/>
        </w:rPr>
        <w:t xml:space="preserve">(157) </w:t>
      </w:r>
      <w:r>
        <w:rPr>
          <w:rFonts w:ascii="Times New Roman" w:hAnsi="Times New Roman"/>
          <w:b/>
          <w:i w:val="false"/>
          <w:color w:val="000000"/>
          <w:sz w:val="22"/>
        </w:rPr>
        <w:t xml:space="preserve">Readily movable establishment. </w:t>
      </w:r>
      <w:r>
        <w:rPr>
          <w:rFonts w:ascii="Times New Roman" w:hAnsi="Times New Roman"/>
          <w:b w:val="false"/>
          <w:i w:val="false"/>
          <w:color w:val="000000"/>
          <w:sz w:val="22"/>
        </w:rPr>
        <w:t>A mobile home, motor home, trailer, or other recreational vehicle may be used as a readily movable establishment if it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941.3(1)</w:t>
      </w:r>
      <w:r>
        <w:rPr>
          <w:rFonts w:ascii="Times New Roman" w:hAnsi="Times New Roman"/>
          <w:b w:val="false"/>
          <w:i w:val="false"/>
          <w:color w:val="000000"/>
          <w:sz w:val="22"/>
        </w:rPr>
        <w:t> </w:t>
      </w:r>
      <w:r>
        <w:rPr>
          <w:rFonts w:ascii="Times New Roman" w:hAnsi="Times New Roman"/>
          <w:b w:val="false"/>
          <w:i w:val="false"/>
          <w:color w:val="000000"/>
          <w:sz w:val="22"/>
        </w:rPr>
        <w:t>The owner shall possess a current readily movable establishment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941.3(2)</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941.3(3)</w:t>
      </w:r>
      <w:r>
        <w:rPr>
          <w:rFonts w:ascii="Times New Roman" w:hAnsi="Times New Roman"/>
          <w:b w:val="false"/>
          <w:i w:val="false"/>
          <w:color w:val="000000"/>
          <w:sz w:val="22"/>
        </w:rPr>
        <w:t> </w:t>
      </w:r>
      <w:r>
        <w:rPr>
          <w:rFonts w:ascii="Times New Roman" w:hAnsi="Times New Roman"/>
          <w:b w:val="false"/>
          <w:i w:val="false"/>
          <w:color w:val="000000"/>
          <w:sz w:val="22"/>
        </w:rPr>
        <w:t>The readily movable establishment’s owner’s telephone number, email address, and permanent address must be included on the application for licensure and must be updated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941.3(4)</w:t>
      </w:r>
      <w:r>
        <w:rPr>
          <w:rFonts w:ascii="Times New Roman" w:hAnsi="Times New Roman"/>
          <w:b w:val="false"/>
          <w:i w:val="false"/>
          <w:color w:val="000000"/>
          <w:sz w:val="22"/>
        </w:rPr>
        <w:t> </w:t>
      </w:r>
      <w:r>
        <w:rPr>
          <w:rFonts w:ascii="Times New Roman" w:hAnsi="Times New Roman"/>
          <w:b w:val="false"/>
          <w:i w:val="false"/>
          <w:color w:val="000000"/>
          <w:sz w:val="22"/>
        </w:rPr>
        <w:t>No service may be performed on a client in a moving vehicle. Services shall be performed in a readily movable establishment that is parked in a legal parking spot.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941.3(5)</w:t>
      </w:r>
      <w:r>
        <w:rPr>
          <w:rFonts w:ascii="Times New Roman" w:hAnsi="Times New Roman"/>
          <w:b w:val="false"/>
          <w:i w:val="false"/>
          <w:color w:val="000000"/>
          <w:sz w:val="22"/>
        </w:rPr>
        <w:t> </w:t>
      </w:r>
      <w:r>
        <w:rPr>
          <w:rFonts w:ascii="Times New Roman" w:hAnsi="Times New Roman"/>
          <w:b w:val="false"/>
          <w:i w:val="false"/>
          <w:color w:val="000000"/>
          <w:sz w:val="22"/>
        </w:rPr>
        <w:t>Readily movable establishments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supply of hot and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floor surface in the service area that is nonabsorbent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surfaces that are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Cabinets secured with safety catches wherein all chemicals shall be stored when the vehicle is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first-aid kit that includes adhesive dressing, gauze and antiseptic, tape, triple antibiotics, eyewash, and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941.3(6)</w:t>
      </w:r>
      <w:r>
        <w:rPr>
          <w:rFonts w:ascii="Times New Roman" w:hAnsi="Times New Roman"/>
          <w:b w:val="false"/>
          <w:i w:val="false"/>
          <w:color w:val="000000"/>
          <w:sz w:val="22"/>
        </w:rPr>
        <w:t> </w:t>
      </w:r>
      <w:r>
        <w:rPr>
          <w:rFonts w:ascii="Times New Roman" w:hAnsi="Times New Roman"/>
          <w:b w:val="false"/>
          <w:i w:val="false"/>
          <w:color w:val="000000"/>
          <w:sz w:val="22"/>
        </w:rPr>
        <w:t xml:space="preserve">A readily movable establishment must comply with all rules in </w:t>
      </w:r>
      <w:hyperlink r:id="rId12">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“Infection Control for Establishments and Schools of Barbering and Cosmetology Arts and Sciences,” except rules </w:t>
      </w:r>
      <w:hyperlink r:id="rId13">
        <w:r>
          <w:rPr>
            <w:rStyle w:val="Hyperlink"/>
            <w:rFonts w:ascii="Times New Roman" w:hAnsi="Times New Roman"/>
            <w:b w:val="false"/>
            <w:i w:val="false"/>
            <w:color w:val="000000"/>
            <w:sz w:val="22"/>
          </w:rPr>
          <w:t>481—943.6</w:t>
        </w:r>
      </w:hyperlink>
      <w:r>
        <w:rPr>
          <w:rFonts w:ascii="Times New Roman" w:hAnsi="Times New Roman"/>
          <w:b w:val="false"/>
          <w:i w:val="false"/>
          <w:color w:val="000000"/>
          <w:sz w:val="22"/>
        </w:rPr>
        <w:t xml:space="preserve">(157) through </w:t>
      </w:r>
      <w:hyperlink r:id="rId14">
        <w:r>
          <w:rPr>
            <w:rStyle w:val="Hyperlink"/>
            <w:rFonts w:ascii="Times New Roman" w:hAnsi="Times New Roman"/>
            <w:b w:val="false"/>
            <w:i w:val="false"/>
            <w:color w:val="000000"/>
            <w:sz w:val="22"/>
          </w:rPr>
          <w:t>481—943.8</w:t>
        </w:r>
      </w:hyperlink>
      <w:r>
        <w:rPr>
          <w:rFonts w:ascii="Times New Roman" w:hAnsi="Times New Roman"/>
          <w:b w:val="false"/>
          <w:i w:val="false"/>
          <w:color w:val="000000"/>
          <w:sz w:val="22"/>
        </w:rPr>
        <w:t>(157).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481—941.4</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an establishment license shall begin on January 1 of every odd-numbered year and end on December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941.4(2)</w:t>
      </w:r>
      <w:r>
        <w:rPr>
          <w:rFonts w:ascii="Times New Roman" w:hAnsi="Times New Roman"/>
          <w:b w:val="false"/>
          <w:i w:val="false"/>
          <w:color w:val="000000"/>
          <w:sz w:val="22"/>
        </w:rPr>
        <w:t> </w:t>
      </w:r>
      <w:r>
        <w:rPr>
          <w:rFonts w:ascii="Times New Roman" w:hAnsi="Times New Roman"/>
          <w:b w:val="false"/>
          <w:i w:val="false"/>
          <w:color w:val="000000"/>
          <w:sz w:val="22"/>
        </w:rPr>
        <w:t>A renewal of license notice shall be electronically mailed to the owner of the establishment prior to the expiration of the license. Failure to receive the renewal notice shall not relieve the owner of the obligation to pay the biennial renewal fee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941.4(3)</w:t>
      </w:r>
      <w:r>
        <w:rPr>
          <w:rFonts w:ascii="Times New Roman" w:hAnsi="Times New Roman"/>
          <w:b w:val="false"/>
          <w:i w:val="false"/>
          <w:color w:val="000000"/>
          <w:sz w:val="22"/>
        </w:rPr>
        <w:t> </w:t>
      </w:r>
      <w:r>
        <w:rPr>
          <w:rFonts w:ascii="Times New Roman" w:hAnsi="Times New Roman"/>
          <w:b w:val="false"/>
          <w:i w:val="false"/>
          <w:color w:val="000000"/>
          <w:sz w:val="22"/>
        </w:rPr>
        <w:t>An establishment that is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941.4(4)</w:t>
      </w:r>
      <w:r>
        <w:rPr>
          <w:rFonts w:ascii="Times New Roman" w:hAnsi="Times New Roman"/>
          <w:b w:val="false"/>
          <w:i w:val="false"/>
          <w:color w:val="000000"/>
          <w:sz w:val="22"/>
        </w:rPr>
        <w:t> </w:t>
      </w:r>
      <w:r>
        <w:rPr>
          <w:rFonts w:ascii="Times New Roman" w:hAnsi="Times New Roman"/>
          <w:b w:val="false"/>
          <w:i w:val="false"/>
          <w:color w:val="000000"/>
          <w:sz w:val="22"/>
        </w:rPr>
        <w:t>The establishment owner shall submit the completed application with the renewal fee to the board office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941.4(5)</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shall be in full compliance with this chapter and </w:t>
      </w:r>
      <w:hyperlink r:id="rId15">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renewal. When all requirements for license renewal are met, the establishment shall be issued a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941.4(6)</w:t>
      </w:r>
      <w:r>
        <w:rPr>
          <w:rFonts w:ascii="Times New Roman" w:hAnsi="Times New Roman"/>
          <w:b w:val="false"/>
          <w:i w:val="false"/>
          <w:color w:val="000000"/>
          <w:sz w:val="22"/>
        </w:rPr>
        <w:t> </w:t>
      </w:r>
      <w:r>
        <w:rPr>
          <w:rFonts w:ascii="Times New Roman" w:hAnsi="Times New Roman"/>
          <w:b w:val="false"/>
          <w:i w:val="false"/>
          <w:color w:val="000000"/>
          <w:sz w:val="22"/>
        </w:rPr>
        <w:t>If the renewal fee and renewal application are received in the office after the license expiration date, but within 30 days following the expiration date, the late fee for failure to renew before expiration shall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481—941.5</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941.5(1)</w:t>
      </w:r>
      <w:r>
        <w:rPr>
          <w:rFonts w:ascii="Times New Roman" w:hAnsi="Times New Roman"/>
          <w:b w:val="false"/>
          <w:i w:val="false"/>
          <w:color w:val="000000"/>
          <w:sz w:val="22"/>
        </w:rPr>
        <w:t> </w:t>
      </w:r>
      <w:r>
        <w:rPr>
          <w:rFonts w:ascii="Times New Roman" w:hAnsi="Times New Roman"/>
          <w:b w:val="false"/>
          <w:i w:val="false"/>
          <w:color w:val="000000"/>
          <w:sz w:val="22"/>
        </w:rPr>
        <w:t>An establishment that has not renewed the establishment license within the required time frame will have an inactive license and shall not provide barbering and cosmetology arts and sciences services until the license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941.5(2)</w:t>
      </w:r>
      <w:r>
        <w:rPr>
          <w:rFonts w:ascii="Times New Roman" w:hAnsi="Times New Roman"/>
          <w:b w:val="false"/>
          <w:i w:val="false"/>
          <w:color w:val="000000"/>
          <w:sz w:val="22"/>
        </w:rPr>
        <w:t> </w:t>
      </w:r>
      <w:r>
        <w:rPr>
          <w:rFonts w:ascii="Times New Roman" w:hAnsi="Times New Roman"/>
          <w:b w:val="false"/>
          <w:i w:val="false"/>
          <w:color w:val="000000"/>
          <w:sz w:val="22"/>
        </w:rPr>
        <w:t>To reactivate an establishment license, the reactivation application and fee shall be submitted to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481—941.6</w:t>
      </w:r>
      <w:r>
        <w:rPr>
          <w:rFonts w:ascii="Times New Roman" w:hAnsi="Times New Roman"/>
          <w:b/>
          <w:i w:val="false"/>
          <w:color w:val="000000"/>
          <w:sz w:val="22"/>
        </w:rPr>
        <w:t xml:space="preserve">(157) </w:t>
      </w:r>
      <w:r>
        <w:rPr>
          <w:rFonts w:ascii="Times New Roman" w:hAnsi="Times New Roman"/>
          <w:b/>
          <w:i w:val="false"/>
          <w:color w:val="000000"/>
          <w:sz w:val="22"/>
        </w:rPr>
        <w:t xml:space="preserve">Display requirements for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941.6(1)</w:t>
      </w:r>
      <w:r>
        <w:rPr>
          <w:rFonts w:ascii="Times New Roman" w:hAnsi="Times New Roman"/>
          <w:b w:val="false"/>
          <w:i w:val="false"/>
          <w:color w:val="000000"/>
          <w:sz w:val="22"/>
        </w:rPr>
        <w:t> </w:t>
      </w:r>
      <w:r>
        <w:rPr>
          <w:rFonts w:ascii="Times New Roman" w:hAnsi="Times New Roman"/>
          <w:b w:val="false"/>
          <w:i w:val="false"/>
          <w:color w:val="000000"/>
          <w:sz w:val="22"/>
        </w:rPr>
        <w:t>Every establishment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941.6(2)</w:t>
      </w:r>
      <w:r>
        <w:rPr>
          <w:rFonts w:ascii="Times New Roman" w:hAnsi="Times New Roman"/>
          <w:b w:val="false"/>
          <w:i w:val="false"/>
          <w:color w:val="000000"/>
          <w:sz w:val="22"/>
        </w:rPr>
        <w:t> </w:t>
      </w:r>
      <w:r>
        <w:rPr>
          <w:rFonts w:ascii="Times New Roman" w:hAnsi="Times New Roman"/>
          <w:b w:val="false"/>
          <w:i w:val="false"/>
          <w:color w:val="000000"/>
          <w:sz w:val="22"/>
        </w:rPr>
        <w:t>The most current establishment license proof of renewal shall be posted in the establishment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941.6(3)</w:t>
      </w:r>
      <w:r>
        <w:rPr>
          <w:rFonts w:ascii="Times New Roman" w:hAnsi="Times New Roman"/>
          <w:b w:val="false"/>
          <w:i w:val="false"/>
          <w:color w:val="000000"/>
          <w:sz w:val="22"/>
        </w:rPr>
        <w:t> </w:t>
      </w:r>
      <w:r>
        <w:rPr>
          <w:rFonts w:ascii="Times New Roman" w:hAnsi="Times New Roman"/>
          <w:b w:val="false"/>
          <w:i w:val="false"/>
          <w:color w:val="000000"/>
          <w:sz w:val="22"/>
        </w:rPr>
        <w:t>The most current license proof of renewal for each licensee working in the establishment shall be posted in the establishment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941.6(4)</w:t>
      </w:r>
      <w:r>
        <w:rPr>
          <w:rFonts w:ascii="Times New Roman" w:hAnsi="Times New Roman"/>
          <w:b w:val="false"/>
          <w:i w:val="false"/>
          <w:color w:val="000000"/>
          <w:sz w:val="22"/>
        </w:rPr>
        <w:t> </w:t>
      </w:r>
      <w:r>
        <w:rPr>
          <w:rFonts w:ascii="Times New Roman" w:hAnsi="Times New Roman"/>
          <w:b w:val="false"/>
          <w:i w:val="false"/>
          <w:color w:val="000000"/>
          <w:sz w:val="22"/>
        </w:rPr>
        <w:t>If the licensee works in more than one establishment, the current proof of renewal shall be posted in the primary place of practice, and the licensee shall be able to provide the renewal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941.6(5)</w:t>
      </w:r>
      <w:r>
        <w:rPr>
          <w:rFonts w:ascii="Times New Roman" w:hAnsi="Times New Roman"/>
          <w:b w:val="false"/>
          <w:i w:val="false"/>
          <w:color w:val="000000"/>
          <w:sz w:val="22"/>
        </w:rPr>
        <w:t> </w:t>
      </w:r>
      <w:r>
        <w:rPr>
          <w:rFonts w:ascii="Times New Roman" w:hAnsi="Times New Roman"/>
          <w:b w:val="false"/>
          <w:i w:val="false"/>
          <w:color w:val="000000"/>
          <w:sz w:val="22"/>
        </w:rPr>
        <w:t>If a licensed establishment is operating an apprenticeship program, a sign shall be clearly displayed in the entrance of such establishment that indicates in prominent lettering that apprentices are employed at the establishment and may perform services under the supervision of a licensed apprenticeship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941.6(6)</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blow-dry stylist(s) engage in the practice of blow-dry styling at a licensed establishment, a sign shall be clearly displayed in the entrance of such establishment that indicates in prominent lettering that blow-dry stylist(s) perform limited services, as defined in Iowa Code section </w:t>
      </w:r>
      <w:hyperlink r:id="rId16">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 in the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941.6(7)</w:t>
      </w:r>
      <w:r>
        <w:rPr>
          <w:rFonts w:ascii="Times New Roman" w:hAnsi="Times New Roman"/>
          <w:b w:val="false"/>
          <w:i w:val="false"/>
          <w:color w:val="000000"/>
          <w:sz w:val="22"/>
        </w:rPr>
        <w:t> </w:t>
      </w:r>
      <w:r>
        <w:rPr>
          <w:rFonts w:ascii="Times New Roman" w:hAnsi="Times New Roman"/>
          <w:b w:val="false"/>
          <w:i w:val="false"/>
          <w:color w:val="000000"/>
          <w:sz w:val="22"/>
        </w:rPr>
        <w:t>Each licensee, blow-dry stylist and apprentice shall have a valid U.S. government-issued photo ID to provide to an agent of the board upon request as proof of identity.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481—941.7</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for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941.7(1)</w:t>
      </w:r>
      <w:r>
        <w:rPr>
          <w:rFonts w:ascii="Times New Roman" w:hAnsi="Times New Roman"/>
          <w:b w:val="false"/>
          <w:i w:val="false"/>
          <w:color w:val="000000"/>
          <w:sz w:val="22"/>
        </w:rPr>
        <w:t> </w:t>
      </w:r>
      <w:r>
        <w:rPr>
          <w:rFonts w:ascii="Times New Roman" w:hAnsi="Times New Roman"/>
          <w:b w:val="false"/>
          <w:i w:val="false"/>
          <w:color w:val="000000"/>
          <w:sz w:val="22"/>
        </w:rPr>
        <w:t>A duplicate certificate shall be required if the current certificate is lost, stolen or destroyed. A duplicate certificate shall only be issued under such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941.7(2)</w:t>
      </w:r>
      <w:r>
        <w:rPr>
          <w:rFonts w:ascii="Times New Roman" w:hAnsi="Times New Roman"/>
          <w:b w:val="false"/>
          <w:i w:val="false"/>
          <w:color w:val="000000"/>
          <w:sz w:val="22"/>
        </w:rPr>
        <w:t> </w:t>
      </w:r>
      <w:r>
        <w:rPr>
          <w:rFonts w:ascii="Times New Roman" w:hAnsi="Times New Roman"/>
          <w:b w:val="false"/>
          <w:i w:val="false"/>
          <w:color w:val="000000"/>
          <w:sz w:val="22"/>
        </w:rPr>
        <w:t xml:space="preserve">A duplicate establishment certificate shall be issued upon receipt of a completed application and receipt of the fee as specified in </w:t>
      </w:r>
      <w:hyperlink r:id="rId17">
        <w:r>
          <w:rPr>
            <w:rStyle w:val="Hyperlink"/>
            <w:rFonts w:ascii="Times New Roman" w:hAnsi="Times New Roman"/>
            <w:b w:val="false"/>
            <w:i w:val="false"/>
            <w:color w:val="000000"/>
            <w:sz w:val="22"/>
          </w:rPr>
          <w:t>481—subrule 507.5(5)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941.7(3)</w:t>
      </w:r>
      <w:r>
        <w:rPr>
          <w:rFonts w:ascii="Times New Roman" w:hAnsi="Times New Roman"/>
          <w:b w:val="false"/>
          <w:i w:val="false"/>
          <w:color w:val="000000"/>
          <w:sz w:val="22"/>
        </w:rPr>
        <w:t> </w:t>
      </w:r>
      <w:r>
        <w:rPr>
          <w:rFonts w:ascii="Times New Roman" w:hAnsi="Times New Roman"/>
          <w:b w:val="false"/>
          <w:i w:val="false"/>
          <w:color w:val="000000"/>
          <w:sz w:val="22"/>
        </w:rPr>
        <w:t>If the board receives a completed application stating that the owner of the establishment has not received the certificate within 60 days after the certificate is mailed by the board, no fee shall be required for issuing the duplicate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for schools of barbering and cosmetology arts and sciences.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w:t>
      </w:r>
      <w:r>
        <w:rPr>
          <w:rFonts w:ascii="Times New Roman" w:hAnsi="Times New Roman"/>
          <w:b w:val="false"/>
          <w:i w:val="false"/>
          <w:color w:val="000000"/>
          <w:sz w:val="22"/>
        </w:rPr>
        <w:t> </w:t>
      </w:r>
      <w:r>
        <w:rPr>
          <w:rFonts w:ascii="Times New Roman" w:hAnsi="Times New Roman"/>
          <w:b w:val="false"/>
          <w:i w:val="false"/>
          <w:color w:val="000000"/>
          <w:sz w:val="22"/>
        </w:rPr>
        <w:t>An application for a school license shall be submitted 90 days prior to the anticipated opening day of the school. Prior to board review,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proposed school including a copy of the essential parts of the lease or other documents to provide proof that the owner of the school has occupancy rights for a minimum of one year; a complete plan of the physical facilities; and an explanation detailing how the facilities will be utilized relative to classrooms, clinic space, and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names of licensed instructors including the school director(s) for the proposed school if the instructors and school director(s) have been hired by the school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the catalog, brochure, enrollment contract, student policies, and cancellation and refund policies that will be used by the school or distributed by the school to students and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school’s course of study and curriculum, which shall meet the course of study requirements outlined in rule </w:t>
      </w:r>
      <w:hyperlink r:id="rId18">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941.8(2)</w:t>
      </w:r>
      <w:r>
        <w:rPr>
          <w:rFonts w:ascii="Times New Roman" w:hAnsi="Times New Roman"/>
          <w:b w:val="false"/>
          <w:i w:val="false"/>
          <w:color w:val="000000"/>
          <w:sz w:val="22"/>
        </w:rPr>
        <w:t> </w:t>
      </w:r>
      <w:r>
        <w:rPr>
          <w:rFonts w:ascii="Times New Roman" w:hAnsi="Times New Roman"/>
          <w:b w:val="false"/>
          <w:i w:val="false"/>
          <w:color w:val="000000"/>
          <w:sz w:val="22"/>
        </w:rPr>
        <w:t>Prior to issuance of the school license, the school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final list of licensed instructors and director(s) hired for the school. The number of instructors must meet the requirement outlined in Iowa Code section </w:t>
      </w:r>
      <w:hyperlink r:id="rId19">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 with the exception of instructors for the mentoring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this chapter and </w:t>
      </w:r>
      <w:hyperlink r:id="rId2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and pass the board’s inspection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941.8(3)</w:t>
      </w:r>
      <w:r>
        <w:rPr>
          <w:rFonts w:ascii="Times New Roman" w:hAnsi="Times New Roman"/>
          <w:b w:val="false"/>
          <w:i w:val="false"/>
          <w:color w:val="000000"/>
          <w:sz w:val="22"/>
        </w:rPr>
        <w:t> </w:t>
      </w:r>
      <w:r>
        <w:rPr>
          <w:rFonts w:ascii="Times New Roman" w:hAnsi="Times New Roman"/>
          <w:b w:val="false"/>
          <w:i w:val="false"/>
          <w:color w:val="000000"/>
          <w:sz w:val="22"/>
        </w:rPr>
        <w:t>The school owner may be interviewed by the board during the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941.8(4)</w:t>
      </w:r>
      <w:r>
        <w:rPr>
          <w:rFonts w:ascii="Times New Roman" w:hAnsi="Times New Roman"/>
          <w:b w:val="false"/>
          <w:i w:val="false"/>
          <w:color w:val="000000"/>
          <w:sz w:val="22"/>
        </w:rPr>
        <w:t> </w:t>
      </w:r>
      <w:r>
        <w:rPr>
          <w:rFonts w:ascii="Times New Roman" w:hAnsi="Times New Roman"/>
          <w:b w:val="false"/>
          <w:i w:val="false"/>
          <w:color w:val="000000"/>
          <w:sz w:val="22"/>
        </w:rPr>
        <w:t>After all criteria have been met, the school license shall be granted for the location identified in the school’s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941.8(5)</w:t>
      </w:r>
      <w:r>
        <w:rPr>
          <w:rFonts w:ascii="Times New Roman" w:hAnsi="Times New Roman"/>
          <w:b w:val="false"/>
          <w:i w:val="false"/>
          <w:color w:val="000000"/>
          <w:sz w:val="22"/>
        </w:rPr>
        <w:t> </w:t>
      </w:r>
      <w:r>
        <w:rPr>
          <w:rFonts w:ascii="Times New Roman" w:hAnsi="Times New Roman"/>
          <w:b w:val="false"/>
          <w:i w:val="false"/>
          <w:color w:val="000000"/>
          <w:sz w:val="22"/>
        </w:rPr>
        <w:t>Instruction of students shall not begin until the school license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must provide proof of registration with the Iowa college student aid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941.8(7)</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shall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941.8(8)</w:t>
      </w:r>
      <w:r>
        <w:rPr>
          <w:rFonts w:ascii="Times New Roman" w:hAnsi="Times New Roman"/>
          <w:b w:val="false"/>
          <w:i w:val="false"/>
          <w:color w:val="000000"/>
          <w:sz w:val="22"/>
        </w:rPr>
        <w:t> </w:t>
      </w:r>
      <w:r>
        <w:rPr>
          <w:rFonts w:ascii="Times New Roman" w:hAnsi="Times New Roman"/>
          <w:b w:val="false"/>
          <w:i w:val="false"/>
          <w:color w:val="000000"/>
          <w:sz w:val="22"/>
        </w:rPr>
        <w:t>Existing school license, new location. A change of location shall require submission of an application for a new school license and payment of the license fee 90 days in advance of the anticipated date of opening. A change of address without a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941.8(9)</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school license, new name. The owner shall notify the board in writing of a change of name within 30 days after the occurrence. In addition, the owner shall return the current certificate and pay the reissued certificate fee as specified in rule </w:t>
      </w:r>
      <w:hyperlink r:id="rId21">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941.8(10)</w:t>
      </w:r>
      <w:r>
        <w:rPr>
          <w:rFonts w:ascii="Times New Roman" w:hAnsi="Times New Roman"/>
          <w:b w:val="false"/>
          <w:i w:val="false"/>
          <w:color w:val="000000"/>
          <w:sz w:val="22"/>
        </w:rPr>
        <w:t> </w:t>
      </w:r>
      <w:r>
        <w:rPr>
          <w:rFonts w:ascii="Times New Roman" w:hAnsi="Times New Roman"/>
          <w:b w:val="false"/>
          <w:i w:val="false"/>
          <w:color w:val="000000"/>
          <w:sz w:val="22"/>
        </w:rPr>
        <w:t>Existing school license, change of ownership. A school license is not transferable. A change in ownership of a school shall require the issuance of a new license. A school cannot be sold if disciplinary actions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request legal proof of the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school owner sells the school, that owner must send the license certificate and a report of the sale to the board within ten days of the date on which the sale is final. The owner of the school on record shall retain responsibility for the school until the new school owner has been issued an active school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school owner shall follow all requirements as outlined in rule </w:t>
      </w:r>
      <w:hyperlink r:id="rId22">
        <w:r>
          <w:rPr>
            <w:rStyle w:val="Hyperlink"/>
            <w:rFonts w:ascii="Times New Roman" w:hAnsi="Times New Roman"/>
            <w:b w:val="false"/>
            <w:i w:val="false"/>
            <w:color w:val="000000"/>
            <w:sz w:val="22"/>
          </w:rPr>
          <w:t>481—941.8</w:t>
        </w:r>
      </w:hyperlink>
      <w:r>
        <w:rPr>
          <w:rFonts w:ascii="Times New Roman" w:hAnsi="Times New Roman"/>
          <w:b w:val="false"/>
          <w:i w:val="false"/>
          <w:color w:val="000000"/>
          <w:sz w:val="22"/>
        </w:rPr>
        <w:t xml:space="preserve">(157).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school licensed as a barber school under rule </w:t>
      </w:r>
      <w:hyperlink r:id="rId23">
        <w:r>
          <w:rPr>
            <w:rStyle w:val="Hyperlink"/>
            <w:rFonts w:ascii="Times New Roman" w:hAnsi="Times New Roman"/>
            <w:b w:val="false"/>
            <w:i w:val="false"/>
            <w:color w:val="000000"/>
            <w:sz w:val="22"/>
          </w:rPr>
          <w:t>645—23.2</w:t>
        </w:r>
      </w:hyperlink>
      <w:r>
        <w:rPr>
          <w:rFonts w:ascii="Times New Roman" w:hAnsi="Times New Roman"/>
          <w:b w:val="false"/>
          <w:i w:val="false"/>
          <w:color w:val="000000"/>
          <w:sz w:val="22"/>
        </w:rPr>
        <w:t>(158) prior to July 1, 2024, will, upon successful renewal, receive a license as a school of barbering and cosmetology arts and sciences. Any school licensed as a cosmetology arts and sciences school under this chapter prior to July 1, 2024, will, upon successful renewal, receive a license as a school of barbering and cosmetology arts and sciences.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481—941.9</w:t>
      </w:r>
      <w:r>
        <w:rPr>
          <w:rFonts w:ascii="Times New Roman" w:hAnsi="Times New Roman"/>
          <w:b/>
          <w:i w:val="false"/>
          <w:color w:val="000000"/>
          <w:sz w:val="22"/>
        </w:rPr>
        <w:t xml:space="preserve">(157) </w:t>
      </w:r>
      <w:r>
        <w:rPr>
          <w:rFonts w:ascii="Times New Roman" w:hAnsi="Times New Roman"/>
          <w:b/>
          <w:i w:val="false"/>
          <w:color w:val="000000"/>
          <w:sz w:val="22"/>
        </w:rPr>
        <w:t xml:space="preserve">School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941.9(1)</w:t>
      </w:r>
      <w:r>
        <w:rPr>
          <w:rFonts w:ascii="Times New Roman" w:hAnsi="Times New Roman"/>
          <w:b w:val="false"/>
          <w:i w:val="false"/>
          <w:color w:val="000000"/>
          <w:sz w:val="22"/>
        </w:rPr>
        <w:t> </w:t>
      </w:r>
      <w:r>
        <w:rPr>
          <w:rFonts w:ascii="Times New Roman" w:hAnsi="Times New Roman"/>
          <w:b w:val="false"/>
          <w:i w:val="false"/>
          <w:color w:val="000000"/>
          <w:sz w:val="22"/>
        </w:rPr>
        <w:t>The annual license renewal period for a school license shall begin on July 1 and end on June 30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online renewal application and renewal fee shall be submitted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shall be in full compliance with this chapter and </w:t>
      </w:r>
      <w:hyperlink r:id="rId27">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renewal. When all requirements for license renewal are met, the school shall be issued a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shall successfully complete the annual inspection pursuant to Iowa Code sections </w:t>
      </w:r>
      <w:hyperlink r:id="rId28">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941.9(2)</w:t>
      </w:r>
      <w:r>
        <w:rPr>
          <w:rFonts w:ascii="Times New Roman" w:hAnsi="Times New Roman"/>
          <w:b w:val="false"/>
          <w:i w:val="false"/>
          <w:color w:val="000000"/>
          <w:sz w:val="22"/>
        </w:rPr>
        <w:t> </w:t>
      </w:r>
      <w:r>
        <w:rPr>
          <w:rFonts w:ascii="Times New Roman" w:hAnsi="Times New Roman"/>
          <w:b w:val="false"/>
          <w:i w:val="false"/>
          <w:color w:val="000000"/>
          <w:sz w:val="22"/>
        </w:rPr>
        <w:t>A school that is issued a license within six months of the license renewal date will not be required to renew the license until the next renewal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941.9(3)</w:t>
      </w:r>
      <w:r>
        <w:rPr>
          <w:rFonts w:ascii="Times New Roman" w:hAnsi="Times New Roman"/>
          <w:b w:val="false"/>
          <w:i w:val="false"/>
          <w:color w:val="000000"/>
          <w:sz w:val="22"/>
        </w:rPr>
        <w:t> </w:t>
      </w:r>
      <w:r>
        <w:rPr>
          <w:rFonts w:ascii="Times New Roman" w:hAnsi="Times New Roman"/>
          <w:b w:val="false"/>
          <w:i w:val="false"/>
          <w:color w:val="000000"/>
          <w:sz w:val="22"/>
        </w:rPr>
        <w:t>If the renewal fee and renewal application are submitted after the license expiration date, but within 30 days following the expiration date, the late fee for failure to renew before expiration shall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481—941.10</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school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941.10(1)</w:t>
      </w:r>
      <w:r>
        <w:rPr>
          <w:rFonts w:ascii="Times New Roman" w:hAnsi="Times New Roman"/>
          <w:b w:val="false"/>
          <w:i w:val="false"/>
          <w:color w:val="000000"/>
          <w:sz w:val="22"/>
        </w:rPr>
        <w:t> </w:t>
      </w:r>
      <w:r>
        <w:rPr>
          <w:rFonts w:ascii="Times New Roman" w:hAnsi="Times New Roman"/>
          <w:b w:val="false"/>
          <w:i w:val="false"/>
          <w:color w:val="000000"/>
          <w:sz w:val="22"/>
        </w:rPr>
        <w:t>If the renewal application and fee are not received in the office within 30 days after the license expiration date, the school license is inactive. To reactivate the school license, the reactivation application and fee shall be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941.10(2)</w:t>
      </w:r>
      <w:r>
        <w:rPr>
          <w:rFonts w:ascii="Times New Roman" w:hAnsi="Times New Roman"/>
          <w:b w:val="false"/>
          <w:i w:val="false"/>
          <w:color w:val="000000"/>
          <w:sz w:val="22"/>
        </w:rPr>
        <w:t> </w:t>
      </w:r>
      <w:r>
        <w:rPr>
          <w:rFonts w:ascii="Times New Roman" w:hAnsi="Times New Roman"/>
          <w:b w:val="false"/>
          <w:i w:val="false"/>
          <w:color w:val="000000"/>
          <w:sz w:val="22"/>
        </w:rPr>
        <w:t>A school that has not renewed the school license within the required time frame will have an inactive license and shall not provide schooling or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481—941.11</w:t>
      </w:r>
      <w:r>
        <w:rPr>
          <w:rFonts w:ascii="Times New Roman" w:hAnsi="Times New Roman"/>
          <w:b/>
          <w:i w:val="false"/>
          <w:color w:val="000000"/>
          <w:sz w:val="22"/>
        </w:rPr>
        <w:t xml:space="preserve">(157) </w:t>
      </w:r>
      <w:r>
        <w:rPr>
          <w:rFonts w:ascii="Times New Roman" w:hAnsi="Times New Roman"/>
          <w:b/>
          <w:i w:val="false"/>
          <w:color w:val="000000"/>
          <w:sz w:val="22"/>
        </w:rPr>
        <w:t xml:space="preserve">Display requirements for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941.11(1)</w:t>
      </w:r>
      <w:r>
        <w:rPr>
          <w:rFonts w:ascii="Times New Roman" w:hAnsi="Times New Roman"/>
          <w:b w:val="false"/>
          <w:i w:val="false"/>
          <w:color w:val="000000"/>
          <w:sz w:val="22"/>
        </w:rPr>
        <w:t> </w:t>
      </w:r>
      <w:r>
        <w:rPr>
          <w:rFonts w:ascii="Times New Roman" w:hAnsi="Times New Roman"/>
          <w:b w:val="false"/>
          <w:i w:val="false"/>
          <w:color w:val="000000"/>
          <w:sz w:val="22"/>
        </w:rPr>
        <w:t>Every school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941.11(2)</w:t>
      </w:r>
      <w:r>
        <w:rPr>
          <w:rFonts w:ascii="Times New Roman" w:hAnsi="Times New Roman"/>
          <w:b w:val="false"/>
          <w:i w:val="false"/>
          <w:color w:val="000000"/>
          <w:sz w:val="22"/>
        </w:rPr>
        <w:t> </w:t>
      </w:r>
      <w:r>
        <w:rPr>
          <w:rFonts w:ascii="Times New Roman" w:hAnsi="Times New Roman"/>
          <w:b w:val="false"/>
          <w:i w:val="false"/>
          <w:color w:val="000000"/>
          <w:sz w:val="22"/>
        </w:rPr>
        <w:t>A school license and the current proof of renewal shall be posted in the school’s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941.11(3)</w:t>
      </w:r>
      <w:r>
        <w:rPr>
          <w:rFonts w:ascii="Times New Roman" w:hAnsi="Times New Roman"/>
          <w:b w:val="false"/>
          <w:i w:val="false"/>
          <w:color w:val="000000"/>
          <w:sz w:val="22"/>
        </w:rPr>
        <w:t> </w:t>
      </w:r>
      <w:r>
        <w:rPr>
          <w:rFonts w:ascii="Times New Roman" w:hAnsi="Times New Roman"/>
          <w:b w:val="false"/>
          <w:i w:val="false"/>
          <w:color w:val="000000"/>
          <w:sz w:val="22"/>
        </w:rPr>
        <w:t>The current license proof of renewal for each instructor working at the school shall be posted in the school’s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941.11(4)</w:t>
      </w:r>
      <w:r>
        <w:rPr>
          <w:rFonts w:ascii="Times New Roman" w:hAnsi="Times New Roman"/>
          <w:b w:val="false"/>
          <w:i w:val="false"/>
          <w:color w:val="000000"/>
          <w:sz w:val="22"/>
        </w:rPr>
        <w:t> </w:t>
      </w:r>
      <w:r>
        <w:rPr>
          <w:rFonts w:ascii="Times New Roman" w:hAnsi="Times New Roman"/>
          <w:b w:val="false"/>
          <w:i w:val="false"/>
          <w:color w:val="000000"/>
          <w:sz w:val="22"/>
        </w:rPr>
        <w:t>Advertisements for a school of barbering and cosmetology arts and sciences shall indicate that all services are performed by students under the supervision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941.11(5)</w:t>
      </w:r>
      <w:r>
        <w:rPr>
          <w:rFonts w:ascii="Times New Roman" w:hAnsi="Times New Roman"/>
          <w:b w:val="false"/>
          <w:i w:val="false"/>
          <w:color w:val="000000"/>
          <w:sz w:val="22"/>
        </w:rPr>
        <w:t> </w:t>
      </w:r>
      <w:r>
        <w:rPr>
          <w:rFonts w:ascii="Times New Roman" w:hAnsi="Times New Roman"/>
          <w:b w:val="false"/>
          <w:i w:val="false"/>
          <w:color w:val="000000"/>
          <w:sz w:val="22"/>
        </w:rPr>
        <w:t>A sign shall be clearly displayed in the entrance of a school of barbering and cosmetology arts and sciences that indicates in prominent lettering that students perform all services under the supervision of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481—941.12</w:t>
      </w:r>
      <w:r>
        <w:rPr>
          <w:rFonts w:ascii="Times New Roman" w:hAnsi="Times New Roman"/>
          <w:b/>
          <w:i w:val="false"/>
          <w:color w:val="000000"/>
          <w:sz w:val="22"/>
        </w:rPr>
        <w:t xml:space="preserve">(157) </w:t>
      </w:r>
      <w:r>
        <w:rPr>
          <w:rFonts w:ascii="Times New Roman" w:hAnsi="Times New Roman"/>
          <w:b/>
          <w:i w:val="false"/>
          <w:color w:val="000000"/>
          <w:sz w:val="22"/>
        </w:rPr>
        <w:t xml:space="preserve">Physical requirements for schools of barbering and cosmetology arts and sciences. </w:t>
      </w:r>
      <w:r>
        <w:rPr>
          <w:rFonts w:ascii="Times New Roman" w:hAnsi="Times New Roman"/>
          <w:b w:val="false"/>
          <w:i w:val="false"/>
          <w:color w:val="000000"/>
          <w:sz w:val="22"/>
        </w:rPr>
        <w:t>The school shall meet the following physical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941.12(1)</w:t>
      </w:r>
      <w:r>
        <w:rPr>
          <w:rFonts w:ascii="Times New Roman" w:hAnsi="Times New Roman"/>
          <w:b w:val="false"/>
          <w:i w:val="false"/>
          <w:color w:val="000000"/>
          <w:sz w:val="22"/>
        </w:rPr>
        <w:t> </w:t>
      </w:r>
      <w:r>
        <w:rPr>
          <w:rFonts w:ascii="Times New Roman" w:hAnsi="Times New Roman"/>
          <w:b w:val="false"/>
          <w:i w:val="false"/>
          <w:color w:val="000000"/>
          <w:sz w:val="22"/>
        </w:rPr>
        <w:t>The school premises shall have a minimum floor space of 3,000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941.12(2)</w:t>
      </w:r>
      <w:r>
        <w:rPr>
          <w:rFonts w:ascii="Times New Roman" w:hAnsi="Times New Roman"/>
          <w:b w:val="false"/>
          <w:i w:val="false"/>
          <w:color w:val="000000"/>
          <w:sz w:val="22"/>
        </w:rPr>
        <w:t> </w:t>
      </w:r>
      <w:r>
        <w:rPr>
          <w:rFonts w:ascii="Times New Roman" w:hAnsi="Times New Roman"/>
          <w:b w:val="false"/>
          <w:i w:val="false"/>
          <w:color w:val="000000"/>
          <w:sz w:val="22"/>
        </w:rPr>
        <w:t>Each school shall provide a minimum of 100 square feet per student. When the enrollment in a school exceeds 30 students, additional floor space of 30 square feet shall be required for each additional student enrolled in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941.12(3)</w:t>
      </w:r>
      <w:r>
        <w:rPr>
          <w:rFonts w:ascii="Times New Roman" w:hAnsi="Times New Roman"/>
          <w:b w:val="false"/>
          <w:i w:val="false"/>
          <w:color w:val="000000"/>
          <w:sz w:val="22"/>
        </w:rPr>
        <w:t> </w:t>
      </w:r>
      <w:r>
        <w:rPr>
          <w:rFonts w:ascii="Times New Roman" w:hAnsi="Times New Roman"/>
          <w:b w:val="false"/>
          <w:i w:val="false"/>
          <w:color w:val="000000"/>
          <w:sz w:val="22"/>
        </w:rPr>
        <w:t>Each licensed school offering a full barbering and cosmetology arts and sciences curriculum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one clinic area where the paying public will receive services. The clinic area shall be confined to the premises occupied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theory classroom(s) separate from the clinic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library that is maintained for students and consists of textbooks, current trade publications and business management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area that shall be used as a dispensary. The dispensary shall be equipped with a lavatory, shelves or drawers for storing chemicals, cleansing agents and items, sterilization equipment and any other sanitation items required by </w:t>
      </w:r>
      <w:hyperlink r:id="rId3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Clean items and dirty items in the dispensary must be kept separated as required by </w:t>
      </w:r>
      <w:hyperlink r:id="rId31">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Two restrooms that are equipped with toilets, lavatories, soap and disposable paper towel dispensers.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laundry room that is separated from the clinic area by a full wall or partition. Students may not lounge, eat, practice or study in the laundry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separate room that is equipped for the practice of esthetics and electrology.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administrative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licensed school offering a single discipline barbering and cosmetology arts and sciences curriculum shall provide the same physical space as outlined in subrule </w:t>
      </w:r>
      <w:r>
        <w:rPr>
          <w:rFonts w:ascii="Times New Roman" w:hAnsi="Times New Roman"/>
          <w:b w:val="false"/>
          <w:i w:val="false"/>
          <w:color w:val="000000"/>
          <w:sz w:val="22"/>
        </w:rPr>
        <w:t>941.12(3)</w:t>
      </w:r>
      <w:r>
        <w:rPr>
          <w:rFonts w:ascii="Times New Roman" w:hAnsi="Times New Roman"/>
          <w:b w:val="false"/>
          <w:i w:val="false"/>
          <w:color w:val="000000"/>
          <w:sz w:val="22"/>
        </w:rPr>
        <w:t xml:space="preserve">. Single discipline schools are exempt from paragraph </w:t>
      </w:r>
      <w:r>
        <w:rPr>
          <w:rFonts w:ascii="Times New Roman" w:hAnsi="Times New Roman"/>
          <w:b w:val="false"/>
          <w:i w:val="false"/>
          <w:color w:val="000000"/>
          <w:sz w:val="22"/>
        </w:rPr>
        <w:t>941.12(3)</w:t>
      </w:r>
      <w:r>
        <w:rPr>
          <w:rFonts w:ascii="Times New Roman" w:hAnsi="Times New Roman"/>
          <w:b w:val="false"/>
          <w:i/>
          <w:color w:val="000000"/>
          <w:sz w:val="22"/>
        </w:rPr>
        <w:t>“g”</w:t>
      </w:r>
      <w:r>
        <w:rPr>
          <w:rFonts w:ascii="Times New Roman" w:hAnsi="Times New Roman"/>
          <w:b w:val="false"/>
          <w:i w:val="false"/>
          <w:color w:val="000000"/>
          <w:sz w:val="22"/>
        </w:rPr>
        <w:t xml:space="preserve"> if the board did not originally approve an electrology or esthetics course of study in the curriculum.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481—941.13</w:t>
      </w:r>
      <w:r>
        <w:rPr>
          <w:rFonts w:ascii="Times New Roman" w:hAnsi="Times New Roman"/>
          <w:b/>
          <w:i w:val="false"/>
          <w:color w:val="000000"/>
          <w:sz w:val="22"/>
        </w:rPr>
        <w:t xml:space="preserve">(157) </w:t>
      </w:r>
      <w:r>
        <w:rPr>
          <w:rFonts w:ascii="Times New Roman" w:hAnsi="Times New Roman"/>
          <w:b/>
          <w:i w:val="false"/>
          <w:color w:val="000000"/>
          <w:sz w:val="22"/>
        </w:rPr>
        <w:t xml:space="preserve">Minimum equipment requirements. </w:t>
      </w:r>
      <w:r>
        <w:rPr>
          <w:rFonts w:ascii="Times New Roman" w:hAnsi="Times New Roman"/>
          <w:b w:val="false"/>
          <w:i w:val="false"/>
          <w:color w:val="000000"/>
          <w:sz w:val="22"/>
        </w:rPr>
        <w:t>Each school of barbering and cosmetology arts and sciences shall have the following minimum equipment: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Workstations equipped with chair, workstation, closed drawer or container for sanitized articles, and mirror (maximum of two students per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room(s) when electrology or esthetics or both are offered;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set of hard-copy or electronic textbooks for each student and instructor;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Adequate number of shampoo bowls and chairs with headrests located in the clinic area and readily accessible for students and clients if the school offers a curriculum course in barbering and cosmetology;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Adequate equipment to perform all services in a safe and sanitary manner;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Audiovisual equipment available for each classroom;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Chair and table area for each student in the classroom;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One set of files maintained for all required records;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Labeled bottles and containers showing intended use of the contents.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481—941.14</w:t>
      </w:r>
      <w:r>
        <w:rPr>
          <w:rFonts w:ascii="Times New Roman" w:hAnsi="Times New Roman"/>
          <w:b/>
          <w:i w:val="false"/>
          <w:color w:val="000000"/>
          <w:sz w:val="22"/>
        </w:rPr>
        <w:t xml:space="preserve">(157) </w:t>
      </w:r>
      <w:r>
        <w:rPr>
          <w:rFonts w:ascii="Times New Roman" w:hAnsi="Times New Roman"/>
          <w:b/>
          <w:i w:val="false"/>
          <w:color w:val="000000"/>
          <w:sz w:val="22"/>
        </w:rPr>
        <w:t xml:space="preserve">Course of study requirements. </w:t>
      </w:r>
      <w:r>
        <w:rPr>
          <w:rFonts w:ascii="Times New Roman" w:hAnsi="Times New Roman"/>
          <w:b w:val="false"/>
          <w:i w:val="false"/>
          <w:color w:val="000000"/>
          <w:sz w:val="22"/>
        </w:rPr>
        <w:t>A school of barbering and cosmetology arts and sciences shall not be approved by the board of barbering and cosmetology arts and sciences unless it complies with the course of study requirements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941.14(1)</w:t>
      </w:r>
      <w:r>
        <w:rPr>
          <w:rFonts w:ascii="Times New Roman" w:hAnsi="Times New Roman"/>
          <w:b w:val="false"/>
          <w:i w:val="false"/>
          <w:color w:val="000000"/>
          <w:sz w:val="22"/>
        </w:rPr>
        <w:t> </w:t>
      </w:r>
      <w:r>
        <w:rPr>
          <w:rFonts w:ascii="Times New Roman" w:hAnsi="Times New Roman"/>
          <w:b w:val="false"/>
          <w:i w:val="false"/>
          <w:color w:val="000000"/>
          <w:sz w:val="22"/>
        </w:rPr>
        <w:t>Requirements for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Barbering and cosmetology curriculum. </w:t>
      </w:r>
      <w:r>
        <w:rPr>
          <w:rFonts w:ascii="Times New Roman" w:hAnsi="Times New Roman"/>
          <w:b w:val="false"/>
          <w:i w:val="false"/>
          <w:color w:val="000000"/>
          <w:sz w:val="22"/>
        </w:rPr>
        <w:t xml:space="preserve">Supervised practical instruction, theory and demonstrations totaling 1,550 hours must include core life sciences hours and all practices within the scope of Iowa Code section </w:t>
      </w:r>
      <w:hyperlink r:id="rId36">
        <w:r>
          <w:rPr>
            <w:rStyle w:val="Hyperlink"/>
            <w:rFonts w:ascii="Times New Roman" w:hAnsi="Times New Roman"/>
            <w:b w:val="false"/>
            <w:i w:val="false"/>
            <w:color w:val="000000"/>
            <w:sz w:val="22"/>
          </w:rPr>
          <w:t>157.1(1)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042"/>
        <w:gridCol w:w="6147"/>
      </w:tblGrid>
      <w:tr>
        <w:trPr>
          <w:trHeight w:val="21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57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Barbering and cosmetology theory (including business and management related to the practice of barbering and cosmetology)</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440 hours</w:t>
            </w:r>
          </w:p>
        </w:tc>
      </w:tr>
      <w:tr>
        <w:trPr>
          <w:trHeight w:val="39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 xml:space="preserve">Total core life sciences and barbering and cosmetology theory: </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590 hours</w:t>
            </w:r>
          </w:p>
        </w:tc>
      </w:tr>
      <w:tr>
        <w:trPr>
          <w:trHeight w:val="21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960 hours</w:t>
            </w:r>
          </w:p>
        </w:tc>
      </w:tr>
      <w:tr>
        <w:trPr>
          <w:trHeight w:val="210" w:hRule="atLeast"/>
        </w:trPr>
        <w:tc>
          <w:tcPr>
            <w:tcW w:w="5042"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6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1550 hours (51 semester credit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Electrology curriculum. </w:t>
      </w:r>
      <w:r>
        <w:rPr>
          <w:rFonts w:ascii="Times New Roman" w:hAnsi="Times New Roman"/>
          <w:b w:val="false"/>
          <w:i w:val="false"/>
          <w:color w:val="000000"/>
          <w:sz w:val="22"/>
        </w:rPr>
        <w:t xml:space="preserve">Supervised practical instruction, theory and demonstrations totaling 425 hours must include core life sciences hours and all practices within the scope of Iowa Code section </w:t>
      </w:r>
      <w:hyperlink r:id="rId37">
        <w:r>
          <w:rPr>
            <w:rStyle w:val="Hyperlink"/>
            <w:rFonts w:ascii="Times New Roman" w:hAnsi="Times New Roman"/>
            <w:b w:val="false"/>
            <w:i w:val="false"/>
            <w:color w:val="000000"/>
            <w:sz w:val="22"/>
          </w:rPr>
          <w:t>157.1(10)</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774"/>
        <w:gridCol w:w="5416"/>
      </w:tblGrid>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Electrology theory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425 hours (14 semester credit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Esthetics curriculum. </w:t>
      </w:r>
      <w:r>
        <w:rPr>
          <w:rFonts w:ascii="Times New Roman" w:hAnsi="Times New Roman"/>
          <w:b w:val="false"/>
          <w:i w:val="false"/>
          <w:color w:val="000000"/>
          <w:sz w:val="22"/>
        </w:rPr>
        <w:t xml:space="preserve">Supervised practical instruction, theory and demonstrations must include core life sciences hours and all practices within the scope of Iowa Code section </w:t>
      </w:r>
      <w:hyperlink r:id="rId38">
        <w:r>
          <w:rPr>
            <w:rStyle w:val="Hyperlink"/>
            <w:rFonts w:ascii="Times New Roman" w:hAnsi="Times New Roman"/>
            <w:b w:val="false"/>
            <w:i w:val="false"/>
            <w:color w:val="000000"/>
            <w:sz w:val="22"/>
          </w:rPr>
          <w:t>157.1(13)</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774"/>
        <w:gridCol w:w="5416"/>
      </w:tblGrid>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Esthetics theory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 hours (20 semester credit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Nail technology curriculum. </w:t>
      </w:r>
      <w:r>
        <w:rPr>
          <w:rFonts w:ascii="Times New Roman" w:hAnsi="Times New Roman"/>
          <w:b w:val="false"/>
          <w:i w:val="false"/>
          <w:color w:val="000000"/>
          <w:sz w:val="22"/>
        </w:rPr>
        <w:t xml:space="preserve">Supervised practical instruction, theory and demonstrations must include core life sciences hours and all practices within the scope of Iowa Code section </w:t>
      </w:r>
      <w:hyperlink r:id="rId39">
        <w:r>
          <w:rPr>
            <w:rStyle w:val="Hyperlink"/>
            <w:rFonts w:ascii="Times New Roman" w:hAnsi="Times New Roman"/>
            <w:b w:val="false"/>
            <w:i w:val="false"/>
            <w:color w:val="000000"/>
            <w:sz w:val="22"/>
          </w:rPr>
          <w:t>157.1(25)</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774"/>
        <w:gridCol w:w="5416"/>
      </w:tblGrid>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Core life sciences</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Nail technology theory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Applied practical instruction</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125 hours</w:t>
            </w:r>
          </w:p>
        </w:tc>
      </w:tr>
      <w:tr>
        <w:trPr>
          <w:trHeight w:val="210" w:hRule="atLeast"/>
        </w:trPr>
        <w:tc>
          <w:tcPr>
            <w:tcW w:w="5774" w:type="dxa"/>
            <w:tcBorders/>
            <w:tcMar>
              <w:top w:w="30" w:type="dxa"/>
              <w:left w:w="30" w:type="dxa"/>
              <w:bottom w:w="15" w:type="dxa"/>
              <w:right w:w="30" w:type="dxa"/>
            </w:tcMar>
            <w:vAlign w:val="top"/>
          </w:tcPr>
          <w:p>
            <w:pPr>
              <w:spacing w:before="0" w:after="0"/>
              <w:ind w:left="275"/>
              <w:jc w:val="left"/>
            </w:pPr>
            <w:r>
              <w:rPr>
                <w:rFonts w:ascii="Times New Roman" w:hAnsi="Times New Roman"/>
                <w:b w:val="false"/>
                <w:i w:val="false"/>
                <w:color w:val="000000"/>
                <w:sz w:val="16"/>
              </w:rPr>
              <w:t>Total course of study</w:t>
            </w:r>
          </w:p>
        </w:tc>
        <w:tc>
          <w:tcPr>
            <w:tcW w:w="5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325 hours (11 semester credit hours)</w:t>
            </w:r>
          </w:p>
        </w:tc>
      </w:tr>
    </w:tbl>
    <w:p>
      <w:pPr>
        <w:spacing w:before="0" w:after="0"/>
        <w:ind w:left="120"/>
        <w:jc w:val="both"/>
      </w:pPr>
      <w:r>
        <w:rPr>
          <w:rFonts w:ascii="Times New Roman" w:hAnsi="Times New Roman"/>
          <w:b w:val="false"/>
          <w:i w:val="false"/>
          <w:color w:val="000000"/>
          <w:sz w:val="22"/>
        </w:rPr>
        <w:t>Proof of curriculum requirements may be submitted to the board by either the clock hour or semester credit hour standard. Semester credit hours or the equivalent thereof shall be determined pursuant to administrative rules and regulations promulgated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941.14(2)</w:t>
      </w:r>
      <w:r>
        <w:rPr>
          <w:rFonts w:ascii="Times New Roman" w:hAnsi="Times New Roman"/>
          <w:b w:val="false"/>
          <w:i w:val="false"/>
          <w:color w:val="000000"/>
          <w:sz w:val="22"/>
        </w:rPr>
        <w:t> </w:t>
      </w:r>
      <w:r>
        <w:rPr>
          <w:rFonts w:ascii="Times New Roman" w:hAnsi="Times New Roman"/>
          <w:b w:val="false"/>
          <w:i w:val="false"/>
          <w:color w:val="000000"/>
          <w:sz w:val="22"/>
        </w:rPr>
        <w:t>Curriculum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Theory instruction shall be taught from a standard approved textbook but may be supplemented by other related textbooks. Online coursework is allowed for theory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subjects taught in the school curriculum, including skills and business management, shall relate to the specific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hours for theory and applied practical hours do not have to be obtained from one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 Online coursework is allowed for core life sciences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Clock hours may be converted to credit hours using a standard, recognized method of conversion. Only hours from accredited or board-approved school programs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941.14(3)</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The core life sciences curriculum shall contain the following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Human anatomy and physiology: </w:t>
      </w:r>
    </w:p>
    <w:p>
      <w:pPr>
        <w:spacing w:before="0" w:after="0"/>
        <w:ind w:left="120"/>
        <w:jc w:val="both"/>
      </w:pPr>
      <w:r>
        <w:rPr>
          <w:rFonts w:ascii="Times New Roman" w:hAnsi="Times New Roman"/>
          <w:b w:val="false"/>
          <w:i w:val="false"/>
          <w:color w:val="000000"/>
          <w:sz w:val="22"/>
        </w:rPr>
        <w:t xml:space="preserve">Cell, metabolism and body systems, </w:t>
      </w:r>
    </w:p>
    <w:p>
      <w:pPr>
        <w:spacing w:before="0" w:after="0"/>
        <w:ind w:left="120"/>
        <w:jc w:val="both"/>
      </w:pPr>
      <w:r>
        <w:rPr>
          <w:rFonts w:ascii="Times New Roman" w:hAnsi="Times New Roman"/>
          <w:b w:val="false"/>
          <w:i w:val="false"/>
          <w:color w:val="000000"/>
          <w:sz w:val="22"/>
        </w:rPr>
        <w:t>Human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Bacteriology;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Infection control practices: </w:t>
      </w:r>
    </w:p>
    <w:p>
      <w:pPr>
        <w:spacing w:before="0" w:after="0"/>
        <w:ind w:left="120"/>
        <w:jc w:val="both"/>
      </w:pPr>
      <w:r>
        <w:rPr>
          <w:rFonts w:ascii="Times New Roman" w:hAnsi="Times New Roman"/>
          <w:b w:val="false"/>
          <w:i w:val="false"/>
          <w:color w:val="000000"/>
          <w:sz w:val="22"/>
        </w:rPr>
        <w:t xml:space="preserve">Universal precautions, </w:t>
      </w:r>
    </w:p>
    <w:p>
      <w:pPr>
        <w:spacing w:before="0" w:after="0"/>
        <w:ind w:left="120"/>
        <w:jc w:val="both"/>
      </w:pPr>
      <w:r>
        <w:rPr>
          <w:rFonts w:ascii="Times New Roman" w:hAnsi="Times New Roman"/>
          <w:b w:val="false"/>
          <w:i w:val="false"/>
          <w:color w:val="000000"/>
          <w:sz w:val="22"/>
        </w:rPr>
        <w:t>Sanitation,</w:t>
      </w:r>
    </w:p>
    <w:p>
      <w:pPr>
        <w:spacing w:before="0" w:after="0"/>
        <w:ind w:left="120"/>
        <w:jc w:val="both"/>
      </w:pPr>
      <w:r>
        <w:rPr>
          <w:rFonts w:ascii="Times New Roman" w:hAnsi="Times New Roman"/>
          <w:b w:val="false"/>
          <w:i w:val="false"/>
          <w:color w:val="000000"/>
          <w:sz w:val="22"/>
        </w:rPr>
        <w:t>Sterilization,</w:t>
      </w:r>
    </w:p>
    <w:p>
      <w:pPr>
        <w:spacing w:before="0" w:after="0"/>
        <w:ind w:left="120"/>
        <w:jc w:val="both"/>
      </w:pPr>
      <w:r>
        <w:rPr>
          <w:rFonts w:ascii="Times New Roman" w:hAnsi="Times New Roman"/>
          <w:b w:val="false"/>
          <w:i w:val="false"/>
          <w:color w:val="000000"/>
          <w:sz w:val="22"/>
        </w:rPr>
        <w:t>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Basic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Elements:</w:t>
      </w:r>
    </w:p>
    <w:p>
      <w:pPr>
        <w:spacing w:before="0" w:after="0"/>
        <w:ind w:left="120"/>
        <w:jc w:val="both"/>
      </w:pPr>
      <w:r>
        <w:rPr>
          <w:rFonts w:ascii="Times New Roman" w:hAnsi="Times New Roman"/>
          <w:b w:val="false"/>
          <w:i w:val="false"/>
          <w:color w:val="000000"/>
          <w:sz w:val="22"/>
        </w:rPr>
        <w:t>Compounds and mixtures;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Basic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measurements: </w:t>
      </w:r>
    </w:p>
    <w:p>
      <w:pPr>
        <w:spacing w:before="0" w:after="0"/>
        <w:ind w:left="120"/>
        <w:jc w:val="both"/>
      </w:pPr>
      <w:r>
        <w:rPr>
          <w:rFonts w:ascii="Times New Roman" w:hAnsi="Times New Roman"/>
          <w:b w:val="false"/>
          <w:i w:val="false"/>
          <w:color w:val="000000"/>
          <w:sz w:val="22"/>
        </w:rPr>
        <w:t>Reproduction of light rays,</w:t>
      </w:r>
    </w:p>
    <w:p>
      <w:pPr>
        <w:spacing w:before="0" w:after="0"/>
        <w:ind w:left="120"/>
        <w:jc w:val="both"/>
      </w:pPr>
      <w:r>
        <w:rPr>
          <w:rFonts w:ascii="Times New Roman" w:hAnsi="Times New Roman"/>
          <w:b w:val="false"/>
          <w:i w:val="false"/>
          <w:color w:val="000000"/>
          <w:sz w:val="22"/>
        </w:rPr>
        <w:t>Infrared rays,</w:t>
      </w:r>
    </w:p>
    <w:p>
      <w:pPr>
        <w:spacing w:before="0" w:after="0"/>
        <w:ind w:left="120"/>
        <w:jc w:val="both"/>
      </w:pPr>
      <w:r>
        <w:rPr>
          <w:rFonts w:ascii="Times New Roman" w:hAnsi="Times New Roman"/>
          <w:b w:val="false"/>
          <w:i w:val="false"/>
          <w:color w:val="000000"/>
          <w:sz w:val="22"/>
        </w:rPr>
        <w:t xml:space="preserve">Ultraviolet rays, </w:t>
      </w:r>
    </w:p>
    <w:p>
      <w:pPr>
        <w:spacing w:before="0" w:after="0"/>
        <w:ind w:left="120"/>
        <w:jc w:val="both"/>
      </w:pPr>
      <w:r>
        <w:rPr>
          <w:rFonts w:ascii="Times New Roman" w:hAnsi="Times New Roman"/>
          <w:b w:val="false"/>
          <w:i w:val="false"/>
          <w:color w:val="000000"/>
          <w:sz w:val="22"/>
        </w:rPr>
        <w:t>Visible rays/spectrum;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Hygiene and grooming:</w:t>
      </w:r>
    </w:p>
    <w:p>
      <w:pPr>
        <w:spacing w:before="0" w:after="0"/>
        <w:ind w:left="120"/>
        <w:jc w:val="both"/>
      </w:pPr>
      <w:r>
        <w:rPr>
          <w:rFonts w:ascii="Times New Roman" w:hAnsi="Times New Roman"/>
          <w:b w:val="false"/>
          <w:i w:val="false"/>
          <w:color w:val="000000"/>
          <w:sz w:val="22"/>
        </w:rPr>
        <w:t>Personal and professional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Public relations;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State and federal law, administrative rules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941.14(4)</w:t>
      </w:r>
      <w:r>
        <w:rPr>
          <w:rFonts w:ascii="Times New Roman" w:hAnsi="Times New Roman"/>
          <w:b w:val="false"/>
          <w:i w:val="false"/>
          <w:color w:val="000000"/>
          <w:sz w:val="22"/>
        </w:rPr>
        <w:t> </w:t>
      </w:r>
      <w:r>
        <w:rPr>
          <w:rFonts w:ascii="Times New Roman" w:hAnsi="Times New Roman"/>
          <w:b w:val="false"/>
          <w:i w:val="false"/>
          <w:color w:val="000000"/>
          <w:sz w:val="22"/>
        </w:rPr>
        <w:t>The school shall maintain a copy of the curriculum plan as directed by the school’s accrediting agency or, if not subject to an accrediting agency, for a minimum of three years after the curriculum plan was taught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941.14(5)</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initially licensed after July 1, 2024, must offer a curriculum and course of study for one or more practice disciplines as prescribed in subrules </w:t>
      </w:r>
      <w:hyperlink r:id="rId40">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941.14(6)</w:t>
      </w:r>
      <w:r>
        <w:rPr>
          <w:rFonts w:ascii="Times New Roman" w:hAnsi="Times New Roman"/>
          <w:b w:val="false"/>
          <w:i w:val="false"/>
          <w:color w:val="000000"/>
          <w:sz w:val="22"/>
        </w:rPr>
        <w:t> </w:t>
      </w:r>
      <w:r>
        <w:rPr>
          <w:rFonts w:ascii="Times New Roman" w:hAnsi="Times New Roman"/>
          <w:b w:val="false"/>
          <w:i w:val="false"/>
          <w:color w:val="000000"/>
          <w:sz w:val="22"/>
        </w:rPr>
        <w:t>For a school licensed prior to July 1, 2024,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enrolling in the school on or after August 1, 2024, must be taught a curriculum and course of study for one or more practice disciplines as prescribed by subrules </w:t>
      </w:r>
      <w:hyperlink r:id="rId41">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enrolling in the school prior to August 1, 2024, may either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curriculum and course of study for one or more practice disciplines as prescribed by subrules </w:t>
      </w:r>
      <w:hyperlink r:id="rId42">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legacy curriculum in one or more practice disciplines. Any student graduating from a school after completing a legacy curriculum pursuant to this subrule will satisfy the education requirement for licensure as provided in </w:t>
      </w:r>
      <w:hyperlink r:id="rId43">
        <w:r>
          <w:rPr>
            <w:rStyle w:val="Hyperlink"/>
            <w:rFonts w:ascii="Times New Roman" w:hAnsi="Times New Roman"/>
            <w:b w:val="false"/>
            <w:i w:val="false"/>
            <w:color w:val="000000"/>
            <w:sz w:val="22"/>
          </w:rPr>
          <w:t>481—subparagraph 940.2(1)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481—941.15</w:t>
      </w:r>
      <w:r>
        <w:rPr>
          <w:rFonts w:ascii="Times New Roman" w:hAnsi="Times New Roman"/>
          <w:b/>
          <w:i w:val="false"/>
          <w:color w:val="000000"/>
          <w:sz w:val="22"/>
        </w:rPr>
        <w:t xml:space="preserve">(157) </w:t>
      </w:r>
      <w:r>
        <w:rPr>
          <w:rFonts w:ascii="Times New Roman" w:hAnsi="Times New Roman"/>
          <w:b/>
          <w:i w:val="false"/>
          <w:color w:val="000000"/>
          <w:sz w:val="22"/>
        </w:rPr>
        <w:t xml:space="preserve">Instructors. </w:t>
      </w:r>
      <w:r>
        <w:rPr>
          <w:rFonts w:ascii="Times New Roman" w:hAnsi="Times New Roman"/>
          <w:b w:val="false"/>
          <w:i w:val="false"/>
          <w:color w:val="000000"/>
          <w:sz w:val="22"/>
        </w:rPr>
        <w:t>All instructors in a school of barbering and cosmetology arts and sciences shall be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941.15(1)</w:t>
      </w:r>
      <w:r>
        <w:rPr>
          <w:rFonts w:ascii="Times New Roman" w:hAnsi="Times New Roman"/>
          <w:b w:val="false"/>
          <w:i w:val="false"/>
          <w:color w:val="000000"/>
          <w:sz w:val="22"/>
        </w:rPr>
        <w:t> </w:t>
      </w:r>
      <w:r>
        <w:rPr>
          <w:rFonts w:ascii="Times New Roman" w:hAnsi="Times New Roman"/>
          <w:b w:val="false"/>
          <w:i w:val="false"/>
          <w:color w:val="000000"/>
          <w:sz w:val="22"/>
        </w:rPr>
        <w:t>An instructor teaching a course in electrology, esthetics or nail technology shall also hold a license in that practice discipline or hold a barbering and cosmetology license that shows proof of having completed training in those practices equivalent to that of a license holder in that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instructor teaching a course in shaving, microdermabrasion, chemical peels, intense pulsed lights (IPLs) and lasers shall be certified by the state of Iowa to provide each of the services, as set forth in rule </w:t>
      </w:r>
      <w:hyperlink r:id="rId44">
        <w:r>
          <w:rPr>
            <w:rStyle w:val="Hyperlink"/>
            <w:rFonts w:ascii="Times New Roman" w:hAnsi="Times New Roman"/>
            <w:b w:val="false"/>
            <w:i w:val="false"/>
            <w:color w:val="000000"/>
            <w:sz w:val="22"/>
          </w:rPr>
          <w:t>481—940.4</w:t>
        </w:r>
      </w:hyperlink>
      <w:r>
        <w:rPr>
          <w:rFonts w:ascii="Times New Roman" w:hAnsi="Times New Roman"/>
          <w:b w:val="false"/>
          <w:i w:val="false"/>
          <w:color w:val="000000"/>
          <w:sz w:val="22"/>
        </w:rPr>
        <w:t>(157). An individual who was licensed as an Iowa barber prior to July 1, 2023, is not required to hold an Iowa board-issued shaving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941.15(3)</w:t>
      </w:r>
      <w:r>
        <w:rPr>
          <w:rFonts w:ascii="Times New Roman" w:hAnsi="Times New Roman"/>
          <w:b w:val="false"/>
          <w:i w:val="false"/>
          <w:color w:val="000000"/>
          <w:sz w:val="22"/>
        </w:rPr>
        <w:t> </w:t>
      </w:r>
      <w:r>
        <w:rPr>
          <w:rFonts w:ascii="Times New Roman" w:hAnsi="Times New Roman"/>
          <w:b w:val="false"/>
          <w:i w:val="false"/>
          <w:color w:val="000000"/>
          <w:sz w:val="22"/>
        </w:rPr>
        <w:t>A minimum of two instructors shall be employed on a full-time basis for up to 30 students and an additional instructor for each additional 15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instructors for each school of barbering and cosmetology arts and sciences shall be based upon total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instructor shall not be used to meet licensed instructor-to-student ratios.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school with less than 30 students enrolled may have one licensed instructor on site in the school if offering only clinic services or only theory instruction in a single classroom and less than 15 students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school is offering clinic services and theory instruction simultaneously to less than 15 students, at least two licensed instructors must be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Area community colleges operating a school prior to September 1, 1982, with only one instructor per 15 students are not subject to this subrule and may continue to operate with the ratio of one instructor to 15 students. A student instructor shall not be used to meet licensed instructor-to-student ratios.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941.15(4)</w:t>
      </w:r>
      <w:r>
        <w:rPr>
          <w:rFonts w:ascii="Times New Roman" w:hAnsi="Times New Roman"/>
          <w:b w:val="false"/>
          <w:i w:val="false"/>
          <w:color w:val="000000"/>
          <w:sz w:val="22"/>
        </w:rPr>
        <w:t> </w:t>
      </w:r>
      <w:r>
        <w:rPr>
          <w:rFonts w:ascii="Times New Roman" w:hAnsi="Times New Roman"/>
          <w:b w:val="false"/>
          <w:i w:val="false"/>
          <w:color w:val="000000"/>
          <w:sz w:val="22"/>
        </w:rPr>
        <w:t>An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and in direct charge of all physical and virtual core and theory classrooms and practical classrooms and clinics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Familiarize students with the different standard supplies and equipment used in establishments;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 perform barbering and cosmetology arts and sciences services, with or without compensation, on the school premises except for demonstration purposes, such as continuing education classes consistent with rule </w:t>
      </w:r>
      <w:hyperlink r:id="rId45">
        <w:r>
          <w:rPr>
            <w:rStyle w:val="Hyperlink"/>
            <w:rFonts w:ascii="Times New Roman" w:hAnsi="Times New Roman"/>
            <w:b w:val="false"/>
            <w:i w:val="false"/>
            <w:color w:val="000000"/>
            <w:sz w:val="22"/>
          </w:rPr>
          <w:t>481—941.23</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481—941.16</w:t>
      </w:r>
      <w:r>
        <w:rPr>
          <w:rFonts w:ascii="Times New Roman" w:hAnsi="Times New Roman"/>
          <w:b/>
          <w:i w:val="false"/>
          <w:color w:val="000000"/>
          <w:sz w:val="22"/>
        </w:rPr>
        <w:t xml:space="preserve">(157) </w:t>
      </w:r>
      <w:r>
        <w:rPr>
          <w:rFonts w:ascii="Times New Roman" w:hAnsi="Times New Roman"/>
          <w:b/>
          <w:i w:val="false"/>
          <w:color w:val="000000"/>
          <w:sz w:val="22"/>
        </w:rPr>
        <w:t xml:space="preserve">Student instructors. </w:t>
      </w:r>
      <w:r>
        <w:rPr>
          <w:rFonts w:ascii="Times New Roman" w:hAnsi="Times New Roman"/>
          <w:b w:val="false"/>
          <w:i w:val="false"/>
          <w:color w:val="000000"/>
          <w:sz w:val="22"/>
        </w:rPr>
        <w:t>A student instructor shall be a license holder in the barbering and cosmetology arts and sciences. Each student instructor shall be under the direct supervision of a licensed instructor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481—941.17</w:t>
      </w:r>
      <w:r>
        <w:rPr>
          <w:rFonts w:ascii="Times New Roman" w:hAnsi="Times New Roman"/>
          <w:b/>
          <w:i w:val="false"/>
          <w:color w:val="000000"/>
          <w:sz w:val="22"/>
        </w:rPr>
        <w:t xml:space="preserve">(157)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941.17(1)</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of barbering and cosmetology arts and sciences shall, prior to the time a student is obligated for payment, inform the student of all provisions set forth in Iowa Code section </w:t>
      </w:r>
      <w:hyperlink r:id="rId47">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 The school shall retain a copy of the signed statement for two years following the student’s graduating or leaving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941.17(2)</w:t>
      </w:r>
      <w:r>
        <w:rPr>
          <w:rFonts w:ascii="Times New Roman" w:hAnsi="Times New Roman"/>
          <w:b w:val="false"/>
          <w:i w:val="false"/>
          <w:color w:val="000000"/>
          <w:sz w:val="22"/>
        </w:rPr>
        <w:t> </w:t>
      </w:r>
      <w:r>
        <w:rPr>
          <w:rFonts w:ascii="Times New Roman" w:hAnsi="Times New Roman"/>
          <w:b w:val="false"/>
          <w:i w:val="false"/>
          <w:color w:val="000000"/>
          <w:sz w:val="22"/>
        </w:rPr>
        <w:t>Students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Wear clean and neat uniforms at all times during school hours and during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supervised by a licensed instructor at all times except in a mentoring program when the students shall be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provided regularly scheduled breaks and a minimum of 30 minutes for lunch;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 school no more than eight hours a day. Schools may offer additional hours to students who submit a written request for additional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no compensation from the school for services performed on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services to the public only after completion of a minimum of 10 percent of the course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be called from theory class to provide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be required to perform janitorial services or be allowed to volunteer for such services. Sanitation of the bathroom area shall be limited to replacing products and disinfecting the vanity and mirror surfaces. Sanitation of the toilet and bathroom floor areas is not to be performed by the student and is excluded from student sanitation duty;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Receive no credit or hours for decorating for marketing or merchandising events or for participating in demonstrations of barbering and cosmetology arts and sciences when the sole purpose of the event is to recruit students and the event is outside the curriculum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481—941.18</w:t>
      </w:r>
      <w:r>
        <w:rPr>
          <w:rFonts w:ascii="Times New Roman" w:hAnsi="Times New Roman"/>
          <w:b/>
          <w:i w:val="false"/>
          <w:color w:val="000000"/>
          <w:sz w:val="22"/>
        </w:rPr>
        <w:t xml:space="preserve">(157) </w:t>
      </w:r>
      <w:r>
        <w:rPr>
          <w:rFonts w:ascii="Times New Roman" w:hAnsi="Times New Roman"/>
          <w:b/>
          <w:i w:val="false"/>
          <w:color w:val="000000"/>
          <w:sz w:val="22"/>
        </w:rPr>
        <w:t xml:space="preserve">Attendance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941.18(1)</w:t>
      </w:r>
      <w:r>
        <w:rPr>
          <w:rFonts w:ascii="Times New Roman" w:hAnsi="Times New Roman"/>
          <w:b w:val="false"/>
          <w:i w:val="false"/>
          <w:color w:val="000000"/>
          <w:sz w:val="22"/>
        </w:rPr>
        <w:t> </w:t>
      </w:r>
      <w:r>
        <w:rPr>
          <w:rFonts w:ascii="Times New Roman" w:hAnsi="Times New Roman"/>
          <w:b w:val="false"/>
          <w:i w:val="false"/>
          <w:color w:val="000000"/>
          <w:sz w:val="22"/>
        </w:rPr>
        <w:t>A school of barbering and cosmetology arts and sciences shall have a written, published attendance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941.18(2)</w:t>
      </w:r>
      <w:r>
        <w:rPr>
          <w:rFonts w:ascii="Times New Roman" w:hAnsi="Times New Roman"/>
          <w:b w:val="false"/>
          <w:i w:val="false"/>
          <w:color w:val="000000"/>
          <w:sz w:val="22"/>
        </w:rPr>
        <w:t> </w:t>
      </w:r>
      <w:r>
        <w:rPr>
          <w:rFonts w:ascii="Times New Roman" w:hAnsi="Times New Roman"/>
          <w:b w:val="false"/>
          <w:i w:val="false"/>
          <w:color w:val="000000"/>
          <w:sz w:val="22"/>
        </w:rPr>
        <w:t>Schools shall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complete the hours required for each course of study set forth in rule </w:t>
      </w:r>
      <w:hyperlink r:id="rId48">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attendance policies are applied uniformly and fairly for all physical and virtual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credit is given for all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retake tests and projects to be redone are completed without benefit of additional hours earned. Time scheduled for such work will be scheduled at the school’s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or credit is not added to the cumulative student record as an award or deducted from the cumulative student record as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that must be done for missed hours must be allowed. The student must be given full credit for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941.18(3)</w:t>
      </w:r>
      <w:r>
        <w:rPr>
          <w:rFonts w:ascii="Times New Roman" w:hAnsi="Times New Roman"/>
          <w:b w:val="false"/>
          <w:i w:val="false"/>
          <w:color w:val="000000"/>
          <w:sz w:val="22"/>
        </w:rPr>
        <w:t> </w:t>
      </w:r>
      <w:r>
        <w:rPr>
          <w:rFonts w:ascii="Times New Roman" w:hAnsi="Times New Roman"/>
          <w:b w:val="false"/>
          <w:i w:val="false"/>
          <w:color w:val="000000"/>
          <w:sz w:val="22"/>
        </w:rPr>
        <w:t>Pursuant to the federal Department of Education and accrediting standards agency, the school may adopt an absence policy not to exceed 10 percent of required coursework for doctor’s excuses and life events. In no way shall this policy create a penalty for the student nor excuse the student from the remaining 10 percent of required coursework.</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481—941.19</w:t>
      </w:r>
      <w:r>
        <w:rPr>
          <w:rFonts w:ascii="Times New Roman" w:hAnsi="Times New Roman"/>
          <w:b/>
          <w:i w:val="false"/>
          <w:color w:val="000000"/>
          <w:sz w:val="22"/>
        </w:rPr>
        <w:t xml:space="preserve">(157) </w:t>
      </w:r>
      <w:r>
        <w:rPr>
          <w:rFonts w:ascii="Times New Roman" w:hAnsi="Times New Roman"/>
          <w:b/>
          <w:i w:val="false"/>
          <w:color w:val="000000"/>
          <w:sz w:val="22"/>
        </w:rPr>
        <w:t xml:space="preserve">Accelerated learning.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941.19(1)</w:t>
      </w:r>
      <w:r>
        <w:rPr>
          <w:rFonts w:ascii="Times New Roman" w:hAnsi="Times New Roman"/>
          <w:b w:val="false"/>
          <w:i w:val="false"/>
          <w:color w:val="000000"/>
          <w:sz w:val="22"/>
        </w:rPr>
        <w:t> </w:t>
      </w:r>
      <w:r>
        <w:rPr>
          <w:rFonts w:ascii="Times New Roman" w:hAnsi="Times New Roman"/>
          <w:b w:val="false"/>
          <w:i w:val="false"/>
          <w:color w:val="000000"/>
          <w:sz w:val="22"/>
        </w:rPr>
        <w:t>A school may adopt an accelerated learning policy that includes the acceptance of life experience, prior knowledge learned and test-out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941.19(2)</w:t>
      </w:r>
      <w:r>
        <w:rPr>
          <w:rFonts w:ascii="Times New Roman" w:hAnsi="Times New Roman"/>
          <w:b w:val="false"/>
          <w:i w:val="false"/>
          <w:color w:val="000000"/>
          <w:sz w:val="22"/>
        </w:rPr>
        <w:t> </w:t>
      </w:r>
      <w:r>
        <w:rPr>
          <w:rFonts w:ascii="Times New Roman" w:hAnsi="Times New Roman"/>
          <w:b w:val="false"/>
          <w:i w:val="false"/>
          <w:color w:val="000000"/>
          <w:sz w:val="22"/>
        </w:rPr>
        <w:t>If the school has an accelerated learning policy, the policy shall be a written, published policy that clearly outlines the criteria for acceptance and hours or credit granted or for test-out procedures. The hours or credit granted for accelerated learning shall not exceed 20 percent of the student’s entire course of study and shall be documented in the participating student’s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completion of all entrance requirements, a student may elect to sit for one or more academic written tests to evaluate the knowledge about subject matter gained from life experience or prior learning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in a barbering and cosmetology arts and sciences course of study may be allowed to test out of a subject by sitting for final examinations covering the basic knowledge gained by a student who attends class sessions, or the school may accept and grant hours for prior or concurrent education and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wishes to receive test-out credit or be granted hours for prior or concurrent education or life experience shall have maintained the academic grades and attendance policy standards set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may limit the number of times a student is allowed to sit for a test-out examination of a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481—941.20</w:t>
      </w:r>
      <w:r>
        <w:rPr>
          <w:rFonts w:ascii="Times New Roman" w:hAnsi="Times New Roman"/>
          <w:b/>
          <w:i w:val="false"/>
          <w:color w:val="000000"/>
          <w:sz w:val="22"/>
        </w:rPr>
        <w:t xml:space="preserve">(157) </w:t>
      </w:r>
      <w:r>
        <w:rPr>
          <w:rFonts w:ascii="Times New Roman" w:hAnsi="Times New Roman"/>
          <w:b/>
          <w:i w:val="false"/>
          <w:color w:val="000000"/>
          <w:sz w:val="22"/>
        </w:rPr>
        <w:t xml:space="preserve">Mentoring program. </w:t>
      </w:r>
      <w:r>
        <w:rPr>
          <w:rFonts w:ascii="Times New Roman" w:hAnsi="Times New Roman"/>
          <w:b w:val="false"/>
          <w:i w:val="false"/>
          <w:color w:val="000000"/>
          <w:sz w:val="22"/>
        </w:rPr>
        <w:t>Each barbering and cosmetology arts and sciences school must have a contract between the student, the school and the establishment mentor that includes scheduling, liability insurance and purpose of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941.20(1)</w:t>
      </w:r>
      <w:r>
        <w:rPr>
          <w:rFonts w:ascii="Times New Roman" w:hAnsi="Times New Roman"/>
          <w:b w:val="false"/>
          <w:i w:val="false"/>
          <w:color w:val="000000"/>
          <w:sz w:val="22"/>
        </w:rPr>
        <w:t> </w:t>
      </w:r>
      <w:r>
        <w:rPr>
          <w:rFonts w:ascii="Times New Roman" w:hAnsi="Times New Roman"/>
          <w:b w:val="false"/>
          <w:i w:val="false"/>
          <w:color w:val="000000"/>
          <w:sz w:val="22"/>
        </w:rPr>
        <w:t>Students shall not begin the mentoring program until they have completed a minimum of 50 percent of the total contact or credit hours and other requirements of the mentoring program established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941.20(2)</w:t>
      </w:r>
      <w:r>
        <w:rPr>
          <w:rFonts w:ascii="Times New Roman" w:hAnsi="Times New Roman"/>
          <w:b w:val="false"/>
          <w:i w:val="false"/>
          <w:color w:val="000000"/>
          <w:sz w:val="22"/>
        </w:rPr>
        <w:t> </w:t>
      </w:r>
      <w:r>
        <w:rPr>
          <w:rFonts w:ascii="Times New Roman" w:hAnsi="Times New Roman"/>
          <w:b w:val="false"/>
          <w:i w:val="false"/>
          <w:color w:val="000000"/>
          <w:sz w:val="22"/>
        </w:rPr>
        <w:t>Students may participate in a mentoring program for no more than 5 percent of the total contact or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941.20(3)</w:t>
      </w:r>
      <w:r>
        <w:rPr>
          <w:rFonts w:ascii="Times New Roman" w:hAnsi="Times New Roman"/>
          <w:b w:val="false"/>
          <w:i w:val="false"/>
          <w:color w:val="000000"/>
          <w:sz w:val="22"/>
        </w:rPr>
        <w:t> </w:t>
      </w:r>
      <w:r>
        <w:rPr>
          <w:rFonts w:ascii="Times New Roman" w:hAnsi="Times New Roman"/>
          <w:b w:val="false"/>
          <w:i w:val="false"/>
          <w:color w:val="000000"/>
          <w:sz w:val="22"/>
        </w:rPr>
        <w:t>Students shall be under supervision of the mentor at all times. Students may perform the following: drape, shampoo, remove color and perm chemicals, remove perm rods, remove rollers, apply temporary rinses, apply reconditioners and rebuilders with the recommendation of the mentor, remove nail polish, file nails, perform hand and arm massage, remove cosmetic preparations, act as receptionist, handle retail sales, sanitize establishment, consult with client (chairside manners), perform inventory, order supplies, prepare payroll and pay monthly bills, and hand equipment to the mentor.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941.20(4)</w:t>
      </w:r>
      <w:r>
        <w:rPr>
          <w:rFonts w:ascii="Times New Roman" w:hAnsi="Times New Roman"/>
          <w:b w:val="false"/>
          <w:i w:val="false"/>
          <w:color w:val="000000"/>
          <w:sz w:val="22"/>
        </w:rPr>
        <w:t> </w:t>
      </w:r>
      <w:r>
        <w:rPr>
          <w:rFonts w:ascii="Times New Roman" w:hAnsi="Times New Roman"/>
          <w:b w:val="false"/>
          <w:i w:val="false"/>
          <w:color w:val="000000"/>
          <w:sz w:val="22"/>
        </w:rPr>
        <w:t>The establishment mentor’s responsibilities include the following: introduce the student to the establishment and the client, record the time of the student’s attendance in establishment, prepare evaluation, discuss performance, and allow the student to shadow.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941.20(5)</w:t>
      </w:r>
      <w:r>
        <w:rPr>
          <w:rFonts w:ascii="Times New Roman" w:hAnsi="Times New Roman"/>
          <w:b w:val="false"/>
          <w:i w:val="false"/>
          <w:color w:val="000000"/>
          <w:sz w:val="22"/>
        </w:rPr>
        <w:t> </w:t>
      </w:r>
      <w:r>
        <w:rPr>
          <w:rFonts w:ascii="Times New Roman" w:hAnsi="Times New Roman"/>
          <w:b w:val="false"/>
          <w:i w:val="false"/>
          <w:color w:val="000000"/>
          <w:sz w:val="22"/>
        </w:rPr>
        <w:t>An establishment or school shall not compensate students when the students are participating in the mentoring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481—941.21</w:t>
      </w:r>
      <w:r>
        <w:rPr>
          <w:rFonts w:ascii="Times New Roman" w:hAnsi="Times New Roman"/>
          <w:b/>
          <w:i w:val="false"/>
          <w:color w:val="000000"/>
          <w:sz w:val="22"/>
        </w:rPr>
        <w:t xml:space="preserve">(157) </w:t>
      </w:r>
      <w:r>
        <w:rPr>
          <w:rFonts w:ascii="Times New Roman" w:hAnsi="Times New Roman"/>
          <w:b/>
          <w:i w:val="false"/>
          <w:color w:val="000000"/>
          <w:sz w:val="22"/>
        </w:rPr>
        <w:t xml:space="preserve">Graduate of a school of barbering and cosmetology arts and sciences.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941.21(1)</w:t>
      </w:r>
      <w:r>
        <w:rPr>
          <w:rFonts w:ascii="Times New Roman" w:hAnsi="Times New Roman"/>
          <w:b w:val="false"/>
          <w:i w:val="false"/>
          <w:color w:val="000000"/>
          <w:sz w:val="22"/>
        </w:rPr>
        <w:t> </w:t>
      </w:r>
      <w:r>
        <w:rPr>
          <w:rFonts w:ascii="Times New Roman" w:hAnsi="Times New Roman"/>
          <w:b w:val="false"/>
          <w:i w:val="false"/>
          <w:color w:val="000000"/>
          <w:sz w:val="22"/>
        </w:rPr>
        <w:t>A student shall be considered a graduate when the student has completed the required course of study and met the minimum attendance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941.21(2)</w:t>
      </w:r>
      <w:r>
        <w:rPr>
          <w:rFonts w:ascii="Times New Roman" w:hAnsi="Times New Roman"/>
          <w:b w:val="false"/>
          <w:i w:val="false"/>
          <w:color w:val="000000"/>
          <w:sz w:val="22"/>
        </w:rPr>
        <w:t> </w:t>
      </w:r>
      <w:r>
        <w:rPr>
          <w:rFonts w:ascii="Times New Roman" w:hAnsi="Times New Roman"/>
          <w:b w:val="false"/>
          <w:i w:val="false"/>
          <w:color w:val="000000"/>
          <w:sz w:val="22"/>
        </w:rPr>
        <w:t>Students shall be given a final examination upon completion of the course of study but before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941.21(3)</w:t>
      </w:r>
      <w:r>
        <w:rPr>
          <w:rFonts w:ascii="Times New Roman" w:hAnsi="Times New Roman"/>
          <w:b w:val="false"/>
          <w:i w:val="false"/>
          <w:color w:val="000000"/>
          <w:sz w:val="22"/>
        </w:rPr>
        <w:t> </w:t>
      </w:r>
      <w:r>
        <w:rPr>
          <w:rFonts w:ascii="Times New Roman" w:hAnsi="Times New Roman"/>
          <w:b w:val="false"/>
          <w:i w:val="false"/>
          <w:color w:val="000000"/>
          <w:sz w:val="22"/>
        </w:rPr>
        <w:t>After passage of the final examination and completion of the entire course of study including all project sheets, students shall be issued a certificate of completion of hours required for the course of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481—941.22</w:t>
      </w:r>
      <w:r>
        <w:rPr>
          <w:rFonts w:ascii="Times New Roman" w:hAnsi="Times New Roman"/>
          <w:b/>
          <w:i w:val="false"/>
          <w:color w:val="000000"/>
          <w:sz w:val="22"/>
        </w:rPr>
        <w:t xml:space="preserve">(157) </w:t>
      </w:r>
      <w:r>
        <w:rPr>
          <w:rFonts w:ascii="Times New Roman" w:hAnsi="Times New Roman"/>
          <w:b/>
          <w:i w:val="false"/>
          <w:color w:val="000000"/>
          <w:sz w:val="22"/>
        </w:rPr>
        <w:t xml:space="preserve">Records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941.22(1)</w:t>
      </w:r>
      <w:r>
        <w:rPr>
          <w:rFonts w:ascii="Times New Roman" w:hAnsi="Times New Roman"/>
          <w:b w:val="false"/>
          <w:i w:val="false"/>
          <w:color w:val="000000"/>
          <w:sz w:val="22"/>
        </w:rPr>
        <w:t> </w:t>
      </w:r>
      <w:r>
        <w:rPr>
          <w:rFonts w:ascii="Times New Roman" w:hAnsi="Times New Roman"/>
          <w:b w:val="false"/>
          <w:i w:val="false"/>
          <w:color w:val="000000"/>
          <w:sz w:val="22"/>
        </w:rPr>
        <w:t>Each school of barbering and cosmetology arts and sciences shall maintain a complete set of student records. Individual student hours shall be kept on file at the school for two years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941.22(2)</w:t>
      </w:r>
      <w:r>
        <w:rPr>
          <w:rFonts w:ascii="Times New Roman" w:hAnsi="Times New Roman"/>
          <w:b w:val="false"/>
          <w:i w:val="false"/>
          <w:color w:val="000000"/>
          <w:sz w:val="22"/>
        </w:rPr>
        <w:t> </w:t>
      </w:r>
      <w:r>
        <w:rPr>
          <w:rFonts w:ascii="Times New Roman" w:hAnsi="Times New Roman"/>
          <w:b w:val="false"/>
          <w:i w:val="false"/>
          <w:color w:val="000000"/>
          <w:sz w:val="22"/>
        </w:rPr>
        <w:t>Each school shall maintain daily teaching logs for all instructors, which shall be kept on file at the school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941.22(3)</w:t>
      </w:r>
      <w:r>
        <w:rPr>
          <w:rFonts w:ascii="Times New Roman" w:hAnsi="Times New Roman"/>
          <w:b w:val="false"/>
          <w:i w:val="false"/>
          <w:color w:val="000000"/>
          <w:sz w:val="22"/>
        </w:rPr>
        <w:t> </w:t>
      </w:r>
      <w:r>
        <w:rPr>
          <w:rFonts w:ascii="Times New Roman" w:hAnsi="Times New Roman"/>
          <w:b w:val="false"/>
          <w:i w:val="false"/>
          <w:color w:val="000000"/>
          <w:sz w:val="22"/>
        </w:rPr>
        <w:t>Prior to closure, the controlling school shall establish agreements with another school to maintain student and graduate transcripts and records. Prior to closure, the controlling school shall also notify the board in writing of the location of student records as established by the maintenance agreements and shall submit a copy of the maintenance agreements to the board. Provisions in the agreement must include maintenance of student transcript records for a period of no less than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481—941.23</w:t>
      </w:r>
      <w:r>
        <w:rPr>
          <w:rFonts w:ascii="Times New Roman" w:hAnsi="Times New Roman"/>
          <w:b/>
          <w:i w:val="false"/>
          <w:color w:val="000000"/>
          <w:sz w:val="22"/>
        </w:rPr>
        <w:t xml:space="preserve">(157) </w:t>
      </w:r>
      <w:r>
        <w:rPr>
          <w:rFonts w:ascii="Times New Roman" w:hAnsi="Times New Roman"/>
          <w:b/>
          <w:i w:val="false"/>
          <w:color w:val="000000"/>
          <w:sz w:val="22"/>
        </w:rPr>
        <w:t xml:space="preserve">Classrooms used for other educational purposes. </w:t>
      </w:r>
      <w:r>
        <w:rPr>
          <w:rFonts w:ascii="Times New Roman" w:hAnsi="Times New Roman"/>
          <w:b w:val="false"/>
          <w:i w:val="false"/>
          <w:color w:val="000000"/>
          <w:sz w:val="22"/>
        </w:rPr>
        <w:t>The licensed school of barbering and cosmetology arts and sciences may be used during scheduled theory or applied practical time for any use other than for student instruction so long as these activities do not disrupt classes. Activities that disrupt classes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941.23(1)</w:t>
      </w:r>
      <w:r>
        <w:rPr>
          <w:rFonts w:ascii="Times New Roman" w:hAnsi="Times New Roman"/>
          <w:b w:val="false"/>
          <w:i w:val="false"/>
          <w:color w:val="000000"/>
          <w:sz w:val="22"/>
        </w:rPr>
        <w:t> </w:t>
      </w:r>
      <w:r>
        <w:rPr>
          <w:rFonts w:ascii="Times New Roman" w:hAnsi="Times New Roman"/>
          <w:b w:val="false"/>
          <w:i w:val="false"/>
          <w:color w:val="000000"/>
          <w:sz w:val="22"/>
        </w:rPr>
        <w:t>Persons attending other educational classes passing through a classroom or clinic area (en masse) while it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941.23(2)</w:t>
      </w:r>
      <w:r>
        <w:rPr>
          <w:rFonts w:ascii="Times New Roman" w:hAnsi="Times New Roman"/>
          <w:b w:val="false"/>
          <w:i w:val="false"/>
          <w:color w:val="000000"/>
          <w:sz w:val="22"/>
        </w:rPr>
        <w:t> </w:t>
      </w:r>
      <w:r>
        <w:rPr>
          <w:rFonts w:ascii="Times New Roman" w:hAnsi="Times New Roman"/>
          <w:b w:val="false"/>
          <w:i w:val="false"/>
          <w:color w:val="000000"/>
          <w:sz w:val="22"/>
        </w:rPr>
        <w:t>Activities with noise levels that are disruptive to other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941.23(3)</w:t>
      </w:r>
      <w:r>
        <w:rPr>
          <w:rFonts w:ascii="Times New Roman" w:hAnsi="Times New Roman"/>
          <w:b w:val="false"/>
          <w:i w:val="false"/>
          <w:color w:val="000000"/>
          <w:sz w:val="22"/>
        </w:rPr>
        <w:t> </w:t>
      </w:r>
      <w:r>
        <w:rPr>
          <w:rFonts w:ascii="Times New Roman" w:hAnsi="Times New Roman"/>
          <w:b w:val="false"/>
          <w:i w:val="false"/>
          <w:color w:val="000000"/>
          <w:sz w:val="22"/>
        </w:rPr>
        <w:t>Activities that usurp the space available for barbering and cosmetology arts and sciences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0">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1/23/84, Notice 12/7/83—published 2/15/84, effective 5/2/84]</w:t>
      </w:r>
    </w:p>
    <w:p>
      <w:pPr>
        <w:spacing w:before="0" w:after="0"/>
        <w:ind w:left="120"/>
        <w:jc w:val="center"/>
      </w:pPr>
      <w:r>
        <w:rPr>
          <w:rFonts w:ascii="Times New Roman" w:hAnsi="Times New Roman"/>
          <w:b w:val="false"/>
          <w:i w:val="false"/>
          <w:color w:val="000000"/>
          <w:sz w:val="21"/>
        </w:rPr>
        <w:t>[Filed 11/15/84, Notice 9/26/84—published 12/5/84, effective 1/9/85]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3/24/10]</w:t>
      </w:r>
    </w:p>
    <w:p>
      <w:pPr>
        <w:spacing w:before="0" w:after="0"/>
        <w:ind w:left="120"/>
        <w:jc w:val="center"/>
      </w:pPr>
      <w:r>
        <w:rPr>
          <w:rFonts w:ascii="Times New Roman" w:hAnsi="Times New Roman"/>
          <w:b w:val="false"/>
          <w:i w:val="false"/>
          <w:color w:val="000000"/>
          <w:sz w:val="21"/>
        </w:rPr>
        <w:t>[Filed ARC 2600C</w:t>
      </w:r>
      <w:r>
        <w:rPr>
          <w:rFonts w:ascii="Times New Roman" w:hAnsi="Times New Roman"/>
          <w:b w:val="false"/>
          <w:i w:val="false"/>
          <w:color w:val="000000"/>
          <w:sz w:val="21"/>
        </w:rPr>
        <w:t xml:space="preserve"> (Notice ARC 2465C,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7921C</w:t>
      </w:r>
      <w:r>
        <w:rPr>
          <w:rFonts w:ascii="Times New Roman" w:hAnsi="Times New Roman"/>
          <w:b w:val="false"/>
          <w:i w:val="false"/>
          <w:color w:val="000000"/>
          <w:sz w:val="21"/>
        </w:rPr>
        <w:t xml:space="preserve"> (Notice ARC 7538C,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17, 2010, effective date of 61.15(3) delayed 70 days by the Administrative Rules Review Committee at its meeting held March 8, 2010.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1.pdf" Type="http://schemas.openxmlformats.org/officeDocument/2006/relationships/hyperlink" Id="rId5"/>
    <Relationship TargetMode="External" Target="https://www.legis.iowa.gov/docs/ico/chapter/84D.2.pdf" Type="http://schemas.openxmlformats.org/officeDocument/2006/relationships/hyperlink" Id="rId6"/>
    <Relationship TargetMode="External" Target="https://www.legis.iowa.gov/docs/ico/chapter/157.1.pdf" Type="http://schemas.openxmlformats.org/officeDocument/2006/relationships/hyperlink" Id="rId7"/>
    <Relationship TargetMode="External" Target="https://www.legis.iowa.gov/docs/iac/chapter/481.943.pdf" Type="http://schemas.openxmlformats.org/officeDocument/2006/relationships/hyperlink" Id="rId8"/>
    <Relationship TargetMode="External" Target="https://www.legis.iowa.gov/docs/iac/rule/481.507.2.pdf" Type="http://schemas.openxmlformats.org/officeDocument/2006/relationships/hyperlink" Id="rId9"/>
    <Relationship TargetMode="External" Target="https://www.legis.iowa.gov/docs/iac/chapter/481.943.pdf" Type="http://schemas.openxmlformats.org/officeDocument/2006/relationships/hyperlink" Id="rId10"/>
    <Relationship TargetMode="External" Target="https://www.legis.iowa.gov/docs/iac/rule/481.507.5.pdf" Type="http://schemas.openxmlformats.org/officeDocument/2006/relationships/hyperlink" Id="rId11"/>
    <Relationship TargetMode="External" Target="https://www.legis.iowa.gov/docs/iac/chapter/481.943.pdf" Type="http://schemas.openxmlformats.org/officeDocument/2006/relationships/hyperlink" Id="rId12"/>
    <Relationship TargetMode="External" Target="https://www.legis.iowa.gov/docs/iac/rule/481.943.6.pdf" Type="http://schemas.openxmlformats.org/officeDocument/2006/relationships/hyperlink" Id="rId13"/>
    <Relationship TargetMode="External" Target="https://www.legis.iowa.gov/docs/iac/rule/481.943.8.pdf" Type="http://schemas.openxmlformats.org/officeDocument/2006/relationships/hyperlink" Id="rId14"/>
    <Relationship TargetMode="External" Target="https://www.legis.iowa.gov/docs/iac/chapter/481.943.pdf" Type="http://schemas.openxmlformats.org/officeDocument/2006/relationships/hyperlink" Id="rId15"/>
    <Relationship TargetMode="External" Target="https://www.legis.iowa.gov/docs/ico/chapter/157.12C.pdf" Type="http://schemas.openxmlformats.org/officeDocument/2006/relationships/hyperlink" Id="rId16"/>
    <Relationship TargetMode="External" Target="https://www.legis.iowa.gov/docs/iac/rule/481.507.5.pdf" Type="http://schemas.openxmlformats.org/officeDocument/2006/relationships/hyperlink" Id="rId17"/>
    <Relationship TargetMode="External" Target="https://www.legis.iowa.gov/docs/iac/rule/481.941.14.pdf" Type="http://schemas.openxmlformats.org/officeDocument/2006/relationships/hyperlink" Id="rId18"/>
    <Relationship TargetMode="External" Target="https://www.legis.iowa.gov/docs/ico/chapter/157.8.pdf" Type="http://schemas.openxmlformats.org/officeDocument/2006/relationships/hyperlink" Id="rId19"/>
    <Relationship TargetMode="External" Target="https://www.legis.iowa.gov/docs/iac/chapter/481.943.pdf" Type="http://schemas.openxmlformats.org/officeDocument/2006/relationships/hyperlink" Id="rId20"/>
    <Relationship TargetMode="External" Target="https://www.legis.iowa.gov/docs/iac/rule/481.507.5.pdf" Type="http://schemas.openxmlformats.org/officeDocument/2006/relationships/hyperlink" Id="rId21"/>
    <Relationship TargetMode="External" Target="https://www.legis.iowa.gov/docs/iac/rule/481.941.8.pdf" Type="http://schemas.openxmlformats.org/officeDocument/2006/relationships/hyperlink" Id="rId22"/>
    <Relationship TargetMode="External" Target="https://www.legis.iowa.gov/docs/iac/rule/645.23.2.pdf" Type="http://schemas.openxmlformats.org/officeDocument/2006/relationships/hyperlink" Id="rId23"/>
    <Relationship TargetMode="External" Target="https://www.legis.iowa.gov/docs/ico/chapter/147.80.pdf" Type="http://schemas.openxmlformats.org/officeDocument/2006/relationships/hyperlink" Id="rId24"/>
    <Relationship TargetMode="External" Target="https://www.legis.iowa.gov/docs/ico/chapter/157.6.pdf" Type="http://schemas.openxmlformats.org/officeDocument/2006/relationships/hyperlink" Id="rId25"/>
    <Relationship TargetMode="External" Target="https://www.legis.iowa.gov/docs/ico/chapter/157.8.pdf" Type="http://schemas.openxmlformats.org/officeDocument/2006/relationships/hyperlink" Id="rId26"/>
    <Relationship TargetMode="External" Target="https://www.legis.iowa.gov/docs/iac/chapter/481.943.pdf" Type="http://schemas.openxmlformats.org/officeDocument/2006/relationships/hyperlink" Id="rId27"/>
    <Relationship TargetMode="External" Target="https://www.legis.iowa.gov/docs/ico/chapter/157.6.pdf" Type="http://schemas.openxmlformats.org/officeDocument/2006/relationships/hyperlink" Id="rId28"/>
    <Relationship TargetMode="External" Target="https://www.legis.iowa.gov/docs/ico/chapter/157.8.pdf" Type="http://schemas.openxmlformats.org/officeDocument/2006/relationships/hyperlink" Id="rId29"/>
    <Relationship TargetMode="External" Target="https://www.legis.iowa.gov/docs/iac/chapter/481.943.pdf" Type="http://schemas.openxmlformats.org/officeDocument/2006/relationships/hyperlink" Id="rId30"/>
    <Relationship TargetMode="External" Target="https://www.legis.iowa.gov/docs/iac/chapter/481.943.pdf" Type="http://schemas.openxmlformats.org/officeDocument/2006/relationships/hyperlink" Id="rId31"/>
    <Relationship TargetMode="External" Target="https://www.legis.iowa.gov/docs/ico/chapter/157.6.pdf" Type="http://schemas.openxmlformats.org/officeDocument/2006/relationships/hyperlink" Id="rId32"/>
    <Relationship TargetMode="External" Target="https://www.legis.iowa.gov/docs/ico/chapter/157.8.pdf" Type="http://schemas.openxmlformats.org/officeDocument/2006/relationships/hyperlink" Id="rId33"/>
    <Relationship TargetMode="External" Target="https://www.legis.iowa.gov/docs/ico/chapter/157.6.pdf" Type="http://schemas.openxmlformats.org/officeDocument/2006/relationships/hyperlink" Id="rId34"/>
    <Relationship TargetMode="External" Target="https://www.legis.iowa.gov/docs/ico/chapter/157.8.pdf" Type="http://schemas.openxmlformats.org/officeDocument/2006/relationships/hyperlink" Id="rId35"/>
    <Relationship TargetMode="External" Target="https://www.legis.iowa.gov/docs/ico/chapter/157.1.pdf" Type="http://schemas.openxmlformats.org/officeDocument/2006/relationships/hyperlink" Id="rId36"/>
    <Relationship TargetMode="External" Target="https://www.legis.iowa.gov/docs/ico/chapter/157.1.pdf" Type="http://schemas.openxmlformats.org/officeDocument/2006/relationships/hyperlink" Id="rId37"/>
    <Relationship TargetMode="External" Target="https://www.legis.iowa.gov/docs/ico/chapter/157.1.pdf" Type="http://schemas.openxmlformats.org/officeDocument/2006/relationships/hyperlink" Id="rId38"/>
    <Relationship TargetMode="External" Target="https://www.legis.iowa.gov/docs/ico/chapter/157.1.pdf" Type="http://schemas.openxmlformats.org/officeDocument/2006/relationships/hyperlink" Id="rId39"/>
    <Relationship TargetMode="External" Target="https://www.legis.iowa.gov/docs/iac/rule/645.61.14.pdf" Type="http://schemas.openxmlformats.org/officeDocument/2006/relationships/hyperlink" Id="rId40"/>
    <Relationship TargetMode="External" Target="https://www.legis.iowa.gov/docs/iac/rule/645.61.14.pdf" Type="http://schemas.openxmlformats.org/officeDocument/2006/relationships/hyperlink" Id="rId41"/>
    <Relationship TargetMode="External" Target="https://www.legis.iowa.gov/docs/iac/rule/645.61.14.pdf" Type="http://schemas.openxmlformats.org/officeDocument/2006/relationships/hyperlink" Id="rId42"/>
    <Relationship TargetMode="External" Target="https://www.legis.iowa.gov/docs/iac/rule/481.940.2.pdf" Type="http://schemas.openxmlformats.org/officeDocument/2006/relationships/hyperlink" Id="rId43"/>
    <Relationship TargetMode="External" Target="https://www.legis.iowa.gov/docs/iac/rule/481.940.4.pdf" Type="http://schemas.openxmlformats.org/officeDocument/2006/relationships/hyperlink" Id="rId44"/>
    <Relationship TargetMode="External" Target="https://www.legis.iowa.gov/docs/iac/rule/481.941.23.pdf" Type="http://schemas.openxmlformats.org/officeDocument/2006/relationships/hyperlink" Id="rId45"/>
    <Relationship TargetMode="External" Target="https://www.legis.iowa.gov/docs/ico/chapter/157.pdf" Type="http://schemas.openxmlformats.org/officeDocument/2006/relationships/hyperlink" Id="rId46"/>
    <Relationship TargetMode="External" Target="https://www.legis.iowa.gov/docs/ico/chapter/714.25.pdf" Type="http://schemas.openxmlformats.org/officeDocument/2006/relationships/hyperlink" Id="rId47"/>
    <Relationship TargetMode="External" Target="https://www.legis.iowa.gov/docs/iac/rule/481.941.14.pdf" Type="http://schemas.openxmlformats.org/officeDocument/2006/relationships/hyperlink" Id="rId48"/>
    <Relationship TargetMode="External" Target="https://www.legis.iowa.gov/docs/ico/chapter/157.pdf" Type="http://schemas.openxmlformats.org/officeDocument/2006/relationships/hyperlink" Id="rId49"/>
    <Relationship TargetMode="External" Target="https://www.legis.iowa.gov/docs/ico/chapter/157.pdf" Type="http://schemas.openxmlformats.org/officeDocument/2006/relationships/hyperlink" Id="rId50"/>
    <Relationship TargetMode="External" Target="https://www.legis.iowa.gov/docs/ico/chapter/272C.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