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923</w:t>
      </w:r>
    </w:p>
    <w:p>
      <w:pPr>
        <w:spacing w:before="0" w:after="0"/>
        <w:ind w:left="120"/>
        <w:jc w:val="center"/>
      </w:pPr>
      <w:r>
        <w:rPr>
          <w:rFonts w:ascii="Times New Roman" w:hAnsi="Times New Roman"/>
          <w:b w:val="false"/>
          <w:i w:val="false"/>
          <w:color w:val="000000"/>
          <w:sz w:val="21"/>
        </w:rPr>
        <w:t>DISCIPLINE FOR DIETITIANS</w:t>
      </w:r>
    </w:p>
    <w:p>
      <w:pPr>
        <w:spacing w:before="0" w:after="0"/>
        <w:ind w:left="120"/>
        <w:jc w:val="center"/>
      </w:pPr>
      <w:r>
        <w:rPr>
          <w:rFonts w:ascii="Times New Roman" w:hAnsi="Times New Roman"/>
          <w:b w:val="false"/>
          <w:i w:val="false"/>
          <w:color w:val="000000"/>
          <w:sz w:val="14"/>
        </w:rPr>
        <w:t>[Prior to 9/19/01, see 645—80.100(152A,272C)]</w:t>
      </w:r>
    </w:p>
    <w:p>
      <w:pPr>
        <w:spacing w:before="0" w:after="0"/>
        <w:ind w:left="120"/>
        <w:jc w:val="center"/>
      </w:pPr>
      <w:r>
        <w:rPr>
          <w:rFonts w:ascii="Times New Roman" w:hAnsi="Times New Roman"/>
          <w:b w:val="false"/>
          <w:i w:val="false"/>
          <w:color w:val="000000"/>
          <w:sz w:val="14"/>
        </w:rPr>
        <w:t>[Prior to 6/26/02, see 645—Ch 82]</w:t>
      </w:r>
    </w:p>
    <w:p>
      <w:pPr>
        <w:spacing w:before="0" w:after="0"/>
        <w:ind w:left="120"/>
        <w:jc w:val="center"/>
      </w:pPr>
      <w:r>
        <w:rPr>
          <w:rFonts w:ascii="Times New Roman" w:hAnsi="Times New Roman"/>
          <w:b w:val="false"/>
          <w:i w:val="false"/>
          <w:color w:val="000000"/>
          <w:sz w:val="14"/>
        </w:rPr>
        <w:t>[Prior to 9/18/24, see Professional Licensure Division[645] Ch 83]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481—923.1</w:t>
      </w:r>
      <w:r>
        <w:rPr>
          <w:rFonts w:ascii="Times New Roman" w:hAnsi="Times New Roman"/>
          <w:b/>
          <w:i w:val="false"/>
          <w:color w:val="000000"/>
          <w:sz w:val="22"/>
        </w:rPr>
        <w:t xml:space="preserve">(152A,272C)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impose any of the disciplinary sanctions provided in Iowa Code section </w:t>
      </w:r>
      <w:hyperlink r:id="rId5">
        <w:r>
          <w:rPr>
            <w:rStyle w:val="Hyperlink"/>
            <w:rFonts w:ascii="Times New Roman" w:hAnsi="Times New Roman"/>
            <w:b w:val="false"/>
            <w:i w:val="false"/>
            <w:color w:val="000000"/>
            <w:sz w:val="22"/>
          </w:rPr>
          <w:t>272C.3</w:t>
        </w:r>
      </w:hyperlink>
      <w:r>
        <w:rPr>
          <w:rFonts w:ascii="Times New Roman" w:hAnsi="Times New Roman"/>
          <w:b w:val="false"/>
          <w:i w:val="false"/>
          <w:color w:val="000000"/>
          <w:sz w:val="22"/>
        </w:rPr>
        <w:t xml:space="preserve"> when the board determines that the licensee is guilty of any of the following acts or offenses or those listed in </w:t>
      </w:r>
      <w:hyperlink r:id="rId6">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Failure to comply with the Academy of Nutrition and Dietetics/Commission on Dietetic Registration, Code of Ethics for the Profession of Dietetics and Process for Consideration of Ethics Issues, effective January 1, 2010, hereby adopted by reference. Copies may be obtained from the Academy of Nutrition and Dietetics/Commission on Dietetic Registration website at </w:t>
      </w:r>
      <w:hyperlink r:id="rId7">
        <w:r>
          <w:rPr>
            <w:rStyle w:val="Hyperlink"/>
            <w:rFonts w:ascii="Times New Roman" w:hAnsi="Times New Roman"/>
            <w:b w:val="false"/>
            <w:i w:val="false"/>
            <w:color w:val="000000"/>
            <w:sz w:val="22"/>
            <w:u w:val="single"/>
          </w:rPr>
          <w:t>www.eatright.org/code-of-ethics-for-rdns-and-ndtrs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152A</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7927C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p>
    <w:p>
      <w:pPr>
        <w:spacing w:before="0" w:after="0"/>
        <w:ind w:left="120"/>
        <w:jc w:val="center"/>
      </w:pPr>
      <w:r>
        <w:rPr>
          <w:rFonts w:ascii="Times New Roman" w:hAnsi="Times New Roman"/>
          <w:b w:val="false"/>
          <w:i w:val="false"/>
          <w:color w:val="000000"/>
          <w:sz w:val="21"/>
        </w:rPr>
        <w:t>[Filed 8/30/01, Notice 5/30/01—published 9/19/01, effective 10/24/01]</w:t>
      </w:r>
    </w:p>
    <w:p>
      <w:pPr>
        <w:spacing w:before="0" w:after="0"/>
        <w:ind w:left="120"/>
        <w:jc w:val="center"/>
      </w:pPr>
      <w:r>
        <w:rPr>
          <w:rFonts w:ascii="Times New Roman" w:hAnsi="Times New Roman"/>
          <w:b w:val="false"/>
          <w:i w:val="false"/>
          <w:color w:val="000000"/>
          <w:sz w:val="21"/>
        </w:rPr>
        <w:t>[Filed 6/7/02, Notice 4/3/02—published 6/26/02, effective 7/31/02]</w:t>
      </w:r>
    </w:p>
    <w:p>
      <w:pPr>
        <w:spacing w:before="0" w:after="0"/>
        <w:ind w:left="120"/>
        <w:jc w:val="center"/>
      </w:pPr>
      <w:r>
        <w:rPr>
          <w:rFonts w:ascii="Times New Roman" w:hAnsi="Times New Roman"/>
          <w:b w:val="false"/>
          <w:i w:val="false"/>
          <w:color w:val="000000"/>
          <w:sz w:val="21"/>
        </w:rPr>
        <w:t>[Filed 6/19/03, Notice 4/2/03—published 7/9/03, effective 8/13/03]</w:t>
      </w:r>
    </w:p>
    <w:p>
      <w:pPr>
        <w:spacing w:before="0" w:after="0"/>
        <w:ind w:left="120"/>
        <w:jc w:val="center"/>
      </w:pPr>
      <w:r>
        <w:rPr>
          <w:rFonts w:ascii="Times New Roman" w:hAnsi="Times New Roman"/>
          <w:b w:val="false"/>
          <w:i w:val="false"/>
          <w:color w:val="000000"/>
          <w:sz w:val="21"/>
        </w:rPr>
        <w:t>[Filed 6/15/05, Notice 3/30/05—published 7/6/05, effective 8/10/05]</w:t>
      </w:r>
    </w:p>
    <w:p>
      <w:pPr>
        <w:spacing w:before="0" w:after="0"/>
        <w:ind w:left="120"/>
        <w:jc w:val="center"/>
      </w:pPr>
      <w:r>
        <w:rPr>
          <w:rFonts w:ascii="Times New Roman" w:hAnsi="Times New Roman"/>
          <w:b w:val="false"/>
          <w:i w:val="false"/>
          <w:color w:val="000000"/>
          <w:sz w:val="21"/>
        </w:rPr>
        <w:t>[Filed 12/2/05, Notice 10/12/05—published 1/4/06, effective 2/8/06]</w:t>
      </w:r>
    </w:p>
    <w:p>
      <w:pPr>
        <w:spacing w:before="0" w:after="0"/>
        <w:ind w:left="120"/>
        <w:jc w:val="center"/>
      </w:pPr>
      <w:r>
        <w:rPr>
          <w:rFonts w:ascii="Times New Roman" w:hAnsi="Times New Roman"/>
          <w:b w:val="false"/>
          <w:i w:val="false"/>
          <w:color w:val="000000"/>
          <w:sz w:val="21"/>
        </w:rPr>
        <w:t>[Filed 3/3/06, Notice 1/4/06—published 3/29/06, effective 5/3/06]</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2/18/09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9606B</w:t>
      </w:r>
      <w:r>
        <w:rPr>
          <w:rFonts w:ascii="Times New Roman" w:hAnsi="Times New Roman"/>
          <w:b w:val="false"/>
          <w:i w:val="false"/>
          <w:color w:val="000000"/>
          <w:sz w:val="21"/>
        </w:rPr>
        <w:t xml:space="preserve"> (Notice ARC 9426B, IAB 3/9/11)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0022C</w:t>
      </w:r>
      <w:r>
        <w:rPr>
          <w:rFonts w:ascii="Times New Roman" w:hAnsi="Times New Roman"/>
          <w:b w:val="false"/>
          <w:i w:val="false"/>
          <w:color w:val="000000"/>
          <w:sz w:val="21"/>
        </w:rPr>
        <w:t xml:space="preserve"> (Notice ARC 9799B, IAB 10/5/11)</w:t>
      </w:r>
      <w:r>
        <w:rPr>
          <w:rFonts w:ascii="Times New Roman" w:hAnsi="Times New Roman"/>
          <w:b w:val="false"/>
          <w:i w:val="false"/>
          <w:color w:val="000000"/>
          <w:sz w:val="21"/>
        </w:rPr>
        <w:t>, IAB 2/22/12, effective 3/28/12]</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3/21/12]</w:t>
      </w:r>
    </w:p>
    <w:p>
      <w:pPr>
        <w:spacing w:before="0" w:after="0"/>
        <w:ind w:left="120"/>
        <w:jc w:val="center"/>
      </w:pPr>
      <w:r>
        <w:rPr>
          <w:rFonts w:ascii="Times New Roman" w:hAnsi="Times New Roman"/>
          <w:b w:val="false"/>
          <w:i w:val="false"/>
          <w:color w:val="000000"/>
          <w:sz w:val="21"/>
        </w:rPr>
        <w:t>[Filed ARC 1835C</w:t>
      </w:r>
      <w:r>
        <w:rPr>
          <w:rFonts w:ascii="Times New Roman" w:hAnsi="Times New Roman"/>
          <w:b w:val="false"/>
          <w:i w:val="false"/>
          <w:color w:val="000000"/>
          <w:sz w:val="21"/>
        </w:rPr>
        <w:t xml:space="preserve"> (Notice ARC 1728C, IAB 11/12/14)</w:t>
      </w:r>
      <w:r>
        <w:rPr>
          <w:rFonts w:ascii="Times New Roman" w:hAnsi="Times New Roman"/>
          <w:b w:val="false"/>
          <w:i w:val="false"/>
          <w:color w:val="000000"/>
          <w:sz w:val="21"/>
        </w:rPr>
        <w:t>, IAB 1/21/15, effective 2/25/15]</w:t>
      </w:r>
    </w:p>
    <w:p>
      <w:pPr>
        <w:spacing w:before="0" w:after="0"/>
        <w:ind w:left="120"/>
        <w:jc w:val="center"/>
      </w:pPr>
      <w:r>
        <w:rPr>
          <w:rFonts w:ascii="Times New Roman" w:hAnsi="Times New Roman"/>
          <w:b w:val="false"/>
          <w:i w:val="false"/>
          <w:color w:val="000000"/>
          <w:sz w:val="21"/>
        </w:rPr>
        <w:t>[Filed ARC 5774C</w:t>
      </w:r>
      <w:r>
        <w:rPr>
          <w:rFonts w:ascii="Times New Roman" w:hAnsi="Times New Roman"/>
          <w:b w:val="false"/>
          <w:i w:val="false"/>
          <w:color w:val="000000"/>
          <w:sz w:val="21"/>
        </w:rPr>
        <w:t xml:space="preserve"> (Notice ARC 5452C,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7927C</w:t>
      </w:r>
      <w:r>
        <w:rPr>
          <w:rFonts w:ascii="Times New Roman" w:hAnsi="Times New Roman"/>
          <w:b w:val="false"/>
          <w:i w:val="false"/>
          <w:color w:val="000000"/>
          <w:sz w:val="21"/>
        </w:rPr>
        <w:t xml:space="preserve"> (Notice ARC 7544C, IAB 1/24/24)</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[Editorial change: IAC Supplement 9/18/24]</w:t>
      </w:r>
    </w:p>
    <w:p>
      <w:pPr>
        <w:pBdr>
          <w:bottom w:space="2"/>
        </w:pBdr>
        <w:spacing w:before="0" w:after="0"/>
        <w:ind w:left="120"/>
        <w:jc w:val="both"/>
      </w:pPr>
      <w:r>
        <w:rPr>
          <w:rFonts w:ascii="Times New Roman" w:hAnsi="Times New Roman"/>
          <w:b w:val="false"/>
          <w:i w:val="false"/>
          <w:color w:val="000000"/>
          <w:sz w:val="22"/>
        </w:rPr>
        <w:t>March 28, 2012, effective date of 83.2(12) delayed 70 days by the Administrative Rules Review Committee at its meeting held March 12, 2012.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3.pdf" Type="http://schemas.openxmlformats.org/officeDocument/2006/relationships/hyperlink" Id="rId5"/>
    <Relationship TargetMode="External" Target="https://www.legis.iowa.gov/docs/iac/chapter/481.504.pdf" Type="http://schemas.openxmlformats.org/officeDocument/2006/relationships/hyperlink" Id="rId6"/>
    <Relationship TargetMode="External" Target="http://www.eatright.org/code-of-ethics-for-rdns-and-ndtrs" Type="http://schemas.openxmlformats.org/officeDocument/2006/relationships/hyperlink" Id="rId7"/>
    <Relationship TargetMode="External" Target="https://www.legis.iowa.gov/docs/ico/chapter/147.pdf" Type="http://schemas.openxmlformats.org/officeDocument/2006/relationships/hyperlink" Id="rId8"/>
    <Relationship TargetMode="External" Target="https://www.legis.iowa.gov/docs/ico/chapter/152A.pdf" Type="http://schemas.openxmlformats.org/officeDocument/2006/relationships/hyperlink" Id="rId9"/>
    <Relationship TargetMode="External" Target="https://www.legis.iowa.gov/docs/ico/chapter/272C.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