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905</w:t>
      </w:r>
    </w:p>
    <w:p>
      <w:pPr>
        <w:spacing w:before="0" w:after="0"/>
        <w:ind w:left="120"/>
        <w:jc w:val="center"/>
      </w:pPr>
      <w:r>
        <w:rPr>
          <w:rFonts w:ascii="Times New Roman" w:hAnsi="Times New Roman"/>
          <w:b w:val="false"/>
          <w:i w:val="false"/>
          <w:color w:val="000000"/>
          <w:sz w:val="21"/>
        </w:rPr>
        <w:t>ENFORCEMENT PROCEEDINGS AGAINST NONLICENSEES</w:t>
      </w:r>
    </w:p>
    <w:p>
      <w:pPr>
        <w:spacing w:before="0" w:after="0"/>
        <w:ind w:left="120"/>
        <w:jc w:val="center"/>
      </w:pPr>
      <w:r>
        <w:rPr>
          <w:rFonts w:ascii="Times New Roman" w:hAnsi="Times New Roman"/>
          <w:b w:val="false"/>
          <w:i w:val="false"/>
          <w:color w:val="000000"/>
          <w:sz w:val="14"/>
        </w:rPr>
        <w:t>[Prior to 9/18/24, see Professional Licensure Division[645] Ch 105]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481—905.1</w:t>
      </w:r>
      <w:r>
        <w:rPr>
          <w:rFonts w:ascii="Times New Roman" w:hAnsi="Times New Roman"/>
          <w:b/>
          <w:i w:val="false"/>
          <w:color w:val="000000"/>
          <w:sz w:val="22"/>
        </w:rPr>
        <w:t xml:space="preserve">(156) </w:t>
      </w:r>
      <w:r>
        <w:rPr>
          <w:rFonts w:ascii="Times New Roman" w:hAnsi="Times New Roman"/>
          <w:b/>
          <w:i w:val="false"/>
          <w:color w:val="000000"/>
          <w:sz w:val="22"/>
        </w:rPr>
        <w:t xml:space="preserve">Civil penalties against nonlicensees. </w:t>
      </w:r>
      <w:r>
        <w:rPr>
          <w:rFonts w:ascii="Times New Roman" w:hAnsi="Times New Roman"/>
          <w:b w:val="false"/>
          <w:i w:val="false"/>
          <w:color w:val="000000"/>
          <w:sz w:val="22"/>
        </w:rPr>
        <w:t xml:space="preserve">The board may impose civil penalties by order against a person who is not licensed by the board based on the unlawful practices specified in Iowa Code section </w:t>
      </w:r>
      <w:hyperlink r:id="rId5">
        <w:r>
          <w:rPr>
            <w:rStyle w:val="Hyperlink"/>
            <w:rFonts w:ascii="Times New Roman" w:hAnsi="Times New Roman"/>
            <w:b w:val="false"/>
            <w:i w:val="false"/>
            <w:color w:val="000000"/>
            <w:sz w:val="22"/>
          </w:rPr>
          <w:t>156.16</w:t>
        </w:r>
      </w:hyperlink>
      <w:r>
        <w:rPr>
          <w:rFonts w:ascii="Times New Roman" w:hAnsi="Times New Roman"/>
          <w:b w:val="false"/>
          <w:i w:val="false"/>
          <w:color w:val="000000"/>
          <w:sz w:val="22"/>
        </w:rPr>
        <w:t xml:space="preserve">. In addition to the procedures set forth in Iowa Code section </w:t>
      </w:r>
      <w:hyperlink r:id="rId6">
        <w:r>
          <w:rPr>
            <w:rStyle w:val="Hyperlink"/>
            <w:rFonts w:ascii="Times New Roman" w:hAnsi="Times New Roman"/>
            <w:b w:val="false"/>
            <w:i w:val="false"/>
            <w:color w:val="000000"/>
            <w:sz w:val="22"/>
          </w:rPr>
          <w:t>156.16</w:t>
        </w:r>
      </w:hyperlink>
      <w:r>
        <w:rPr>
          <w:rFonts w:ascii="Times New Roman" w:hAnsi="Times New Roman"/>
          <w:b w:val="false"/>
          <w:i w:val="false"/>
          <w:color w:val="000000"/>
          <w:sz w:val="22"/>
        </w:rPr>
        <w:t>, this chapter will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481—905.2</w:t>
      </w:r>
      <w:r>
        <w:rPr>
          <w:rFonts w:ascii="Times New Roman" w:hAnsi="Times New Roman"/>
          <w:b/>
          <w:i w:val="false"/>
          <w:color w:val="000000"/>
          <w:sz w:val="22"/>
        </w:rPr>
        <w:t xml:space="preserve">(156) </w:t>
      </w:r>
      <w:r>
        <w:rPr>
          <w:rFonts w:ascii="Times New Roman" w:hAnsi="Times New Roman"/>
          <w:b/>
          <w:i w:val="false"/>
          <w:color w:val="000000"/>
          <w:sz w:val="22"/>
        </w:rPr>
        <w:t xml:space="preserve">Unlawful practices. </w:t>
      </w:r>
      <w:r>
        <w:rPr>
          <w:rFonts w:ascii="Times New Roman" w:hAnsi="Times New Roman"/>
          <w:b w:val="false"/>
          <w:i w:val="false"/>
          <w:color w:val="000000"/>
          <w:sz w:val="22"/>
        </w:rPr>
        <w:t>Practices by unlicensed persons or establishments that are subject to civil penalties include but are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Acts or practices by unlicensed persons that require licensure as a funeral director under Iowa Code chapter </w:t>
      </w:r>
      <w:hyperlink r:id="rId7">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Acts or practices by unlicensed establishments that require licensure as a funeral establishment or cremation establishment under Iowa Code chapter </w:t>
      </w:r>
      <w:hyperlink r:id="rId8">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Use of the words “funeral director,” “mortician,” or other title in a manner that states or implies that the person is engaged in the practice of mortuary science as defined in Iowa Code chapter </w:t>
      </w:r>
      <w:hyperlink r:id="rId9">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Use or attempted use of a licensee’s certificate or an expired, suspended, revoked, or nonexistent certificate.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Falsely impersonating a licensed funeral director.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Providing false or forged evidence of any kind to the board in obtaining or attempting to obtain a license.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Other violations of Iowa Code chapter </w:t>
      </w:r>
      <w:hyperlink r:id="rId10">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Knowingly aiding or abetting an unlicensed person or establishment in any activity identified in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481—905.3</w:t>
      </w:r>
      <w:r>
        <w:rPr>
          <w:rFonts w:ascii="Times New Roman" w:hAnsi="Times New Roman"/>
          <w:b/>
          <w:i w:val="false"/>
          <w:color w:val="000000"/>
          <w:sz w:val="22"/>
        </w:rPr>
        <w:t xml:space="preserve">(156) </w:t>
      </w:r>
      <w:r>
        <w:rPr>
          <w:rFonts w:ascii="Times New Roman" w:hAnsi="Times New Roman"/>
          <w:b/>
          <w:i w:val="false"/>
          <w:color w:val="000000"/>
          <w:sz w:val="22"/>
        </w:rPr>
        <w:t xml:space="preserve">Investigations. </w:t>
      </w:r>
      <w:r>
        <w:rPr>
          <w:rFonts w:ascii="Times New Roman" w:hAnsi="Times New Roman"/>
          <w:b w:val="false"/>
          <w:i w:val="false"/>
          <w:color w:val="000000"/>
          <w:sz w:val="22"/>
        </w:rPr>
        <w:t xml:space="preserve">The board is authorized by Iowa Code sections </w:t>
      </w:r>
      <w:hyperlink r:id="rId11">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156.16</w:t>
        </w:r>
      </w:hyperlink>
      <w:r>
        <w:rPr>
          <w:rFonts w:ascii="Times New Roman" w:hAnsi="Times New Roman"/>
          <w:b w:val="false"/>
          <w:i w:val="false"/>
          <w:color w:val="000000"/>
          <w:sz w:val="22"/>
        </w:rPr>
        <w:t xml:space="preserve"> to conduct such investigations as are needed to determine whether grounds exist to impose civil penalties against a nonlicensee. Such investigations will conform to the procedures outlined in this chapter. Complaint and investigatory files concerning nonlicensees are not confidential except as may be provided in Iowa Code chapter </w:t>
      </w:r>
      <w:hyperlink r:id="rId13">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481—905.4</w:t>
      </w:r>
      <w:r>
        <w:rPr>
          <w:rFonts w:ascii="Times New Roman" w:hAnsi="Times New Roman"/>
          <w:b/>
          <w:i w:val="false"/>
          <w:color w:val="000000"/>
          <w:sz w:val="22"/>
        </w:rPr>
        <w:t xml:space="preserve">(156) </w:t>
      </w:r>
      <w:r>
        <w:rPr>
          <w:rFonts w:ascii="Times New Roman" w:hAnsi="Times New Roman"/>
          <w:b/>
          <w:i w:val="false"/>
          <w:color w:val="000000"/>
          <w:sz w:val="22"/>
        </w:rPr>
        <w:t xml:space="preserve">Subpoenas. </w:t>
      </w:r>
      <w:r>
        <w:rPr>
          <w:rFonts w:ascii="Times New Roman" w:hAnsi="Times New Roman"/>
          <w:b w:val="false"/>
          <w:i w:val="false"/>
          <w:color w:val="000000"/>
          <w:sz w:val="22"/>
        </w:rPr>
        <w:t xml:space="preserve">Pursuant to Iowa Code sections </w:t>
      </w:r>
      <w:hyperlink r:id="rId14">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156.16</w:t>
        </w:r>
      </w:hyperlink>
      <w:r>
        <w:rPr>
          <w:rFonts w:ascii="Times New Roman" w:hAnsi="Times New Roman"/>
          <w:b w:val="false"/>
          <w:i w:val="false"/>
          <w:color w:val="000000"/>
          <w:sz w:val="22"/>
        </w:rPr>
        <w:t xml:space="preserve">, the board is authorized in connection with an investigation of an unlicensed person or establishment to issue subpoenas to compel persons to testify and to compel persons to produce books, papers, records and any other real evidence, whether or not privileged or confidential under law, that the board deems necessary as evidence in connection with the civil penalty proceeding or relevant to the decision of whether to initiate a civil penalty proceeding. Board procedures concerning investigative subpoenas are set forth in rule </w:t>
      </w:r>
      <w:hyperlink r:id="rId16">
        <w:r>
          <w:rPr>
            <w:rStyle w:val="Hyperlink"/>
            <w:rFonts w:ascii="Times New Roman" w:hAnsi="Times New Roman"/>
            <w:b w:val="false"/>
            <w:i w:val="false"/>
            <w:color w:val="000000"/>
            <w:sz w:val="22"/>
          </w:rPr>
          <w:t>481—503.5</w:t>
        </w:r>
      </w:hyperlink>
      <w:r>
        <w:rPr>
          <w:rFonts w:ascii="Times New Roman" w:hAnsi="Times New Roman"/>
          <w:b w:val="false"/>
          <w:i w:val="false"/>
          <w:color w:val="000000"/>
          <w:sz w:val="22"/>
        </w:rPr>
        <w:t>(17A,272C).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481—905.5</w:t>
      </w:r>
      <w:r>
        <w:rPr>
          <w:rFonts w:ascii="Times New Roman" w:hAnsi="Times New Roman"/>
          <w:b/>
          <w:i w:val="false"/>
          <w:color w:val="000000"/>
          <w:sz w:val="22"/>
        </w:rPr>
        <w:t xml:space="preserve">(156) </w:t>
      </w:r>
      <w:r>
        <w:rPr>
          <w:rFonts w:ascii="Times New Roman" w:hAnsi="Times New Roman"/>
          <w:b/>
          <w:i w:val="false"/>
          <w:color w:val="000000"/>
          <w:sz w:val="22"/>
        </w:rPr>
        <w:t xml:space="preserve">Notice of intent to impose civil penalties. </w:t>
      </w:r>
      <w:r>
        <w:rPr>
          <w:rFonts w:ascii="Times New Roman" w:hAnsi="Times New Roman"/>
          <w:b w:val="false"/>
          <w:i w:val="false"/>
          <w:color w:val="000000"/>
          <w:sz w:val="22"/>
        </w:rPr>
        <w:t xml:space="preserve">The notice of the board’s intent to issue an order to require compliance with Iowa Code chapter </w:t>
      </w:r>
      <w:hyperlink r:id="rId17">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 xml:space="preserve"> and to impose a civil penalty will be served upon the nonlicensee by restricted certified mail, return receipt requested, or personal service in accordance with Iowa R. Civ.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 1.305. Alternatively, the nonlicensee may accept service personally or through authorized counsel. The notice will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statement of the legal authority and jurisdiction under which the proposed civil penalty would be imposed.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Reference to the particular sections of the statutes and rules involved.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short, plain statement of the alleged unlawful practices.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dollar amount of the proposed civil penalty and the nature of the intended order to require compliance with Iowa Code chapter </w:t>
      </w:r>
      <w:hyperlink r:id="rId18">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Notice of the nonlicensee’s right to a hearing and the time frame in which hearing must be requested.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address to which written request for hearing must be made.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481—905.6</w:t>
      </w:r>
      <w:r>
        <w:rPr>
          <w:rFonts w:ascii="Times New Roman" w:hAnsi="Times New Roman"/>
          <w:b/>
          <w:i w:val="false"/>
          <w:color w:val="000000"/>
          <w:sz w:val="22"/>
        </w:rPr>
        <w:t xml:space="preserve">(156) </w:t>
      </w:r>
      <w:r>
        <w:rPr>
          <w:rFonts w:ascii="Times New Roman" w:hAnsi="Times New Roman"/>
          <w:b/>
          <w:i w:val="false"/>
          <w:color w:val="000000"/>
          <w:sz w:val="22"/>
        </w:rPr>
        <w:t xml:space="preserve">Requests for hearings.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905.6(1)</w:t>
      </w:r>
      <w:r>
        <w:rPr>
          <w:rFonts w:ascii="Times New Roman" w:hAnsi="Times New Roman"/>
          <w:b w:val="false"/>
          <w:i w:val="false"/>
          <w:color w:val="000000"/>
          <w:sz w:val="22"/>
        </w:rPr>
        <w:t> </w:t>
      </w:r>
      <w:r>
        <w:rPr>
          <w:rFonts w:ascii="Times New Roman" w:hAnsi="Times New Roman"/>
          <w:b w:val="false"/>
          <w:i w:val="false"/>
          <w:color w:val="000000"/>
          <w:sz w:val="22"/>
        </w:rPr>
        <w:t>Nonlicensees must request a hearing within 30 days of the date the notice is received if served through restricted certified mail, or within 30 days of the date of service if service is accepted or made in accordance with Iowa R. Civ.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 1.305. A request for hearing must be in writing and is deemed made on the date of the nonmetered United States Postal Service postmark or the date of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905.6(2)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request for hearing is not timely made, the board chairperson or the chairperson’s designee may issue an order imposing the civil penalty and requiring compliance with Iowa Code chapter </w:t>
      </w:r>
      <w:hyperlink r:id="rId19">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 as described in the notice. The order may be mailed by regular first-class mail or served in the same manner as the notice of intent to impose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905.6(3)</w:t>
      </w:r>
      <w:r>
        <w:rPr>
          <w:rFonts w:ascii="Times New Roman" w:hAnsi="Times New Roman"/>
          <w:b w:val="false"/>
          <w:i w:val="false"/>
          <w:color w:val="000000"/>
          <w:sz w:val="22"/>
        </w:rPr>
        <w:t> </w:t>
      </w:r>
      <w:r>
        <w:rPr>
          <w:rFonts w:ascii="Times New Roman" w:hAnsi="Times New Roman"/>
          <w:b w:val="false"/>
          <w:i w:val="false"/>
          <w:color w:val="000000"/>
          <w:sz w:val="22"/>
        </w:rPr>
        <w:t>If a request for hearing is timely made, the board will issue a notice of hearing and conduct a contested case hearing in the same manner as applicable to disciplinary cases against licensees.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905.6(4)</w:t>
      </w:r>
      <w:r>
        <w:rPr>
          <w:rFonts w:ascii="Times New Roman" w:hAnsi="Times New Roman"/>
          <w:b w:val="false"/>
          <w:i w:val="false"/>
          <w:color w:val="000000"/>
          <w:sz w:val="22"/>
        </w:rPr>
        <w:t> </w:t>
      </w:r>
      <w:r>
        <w:rPr>
          <w:rFonts w:ascii="Times New Roman" w:hAnsi="Times New Roman"/>
          <w:b w:val="false"/>
          <w:i w:val="false"/>
          <w:color w:val="000000"/>
          <w:sz w:val="22"/>
        </w:rPr>
        <w:t xml:space="preserve">A nonlicensed person who fails to timely request a contested case hearing will have failed to exhaust “adequate administrative remedies” as that term is used in Iowa Code section </w:t>
      </w:r>
      <w:hyperlink r:id="rId20">
        <w:r>
          <w:rPr>
            <w:rStyle w:val="Hyperlink"/>
            <w:rFonts w:ascii="Times New Roman" w:hAnsi="Times New Roman"/>
            <w:b w:val="false"/>
            <w:i w:val="false"/>
            <w:color w:val="000000"/>
            <w:sz w:val="22"/>
          </w:rPr>
          <w:t>17A.19(1)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905.6(5)</w:t>
      </w:r>
      <w:r>
        <w:rPr>
          <w:rFonts w:ascii="Times New Roman" w:hAnsi="Times New Roman"/>
          <w:b w:val="false"/>
          <w:i w:val="false"/>
          <w:color w:val="000000"/>
          <w:sz w:val="22"/>
        </w:rPr>
        <w:t> </w:t>
      </w:r>
      <w:r>
        <w:rPr>
          <w:rFonts w:ascii="Times New Roman" w:hAnsi="Times New Roman"/>
          <w:b w:val="false"/>
          <w:i w:val="false"/>
          <w:color w:val="000000"/>
          <w:sz w:val="22"/>
        </w:rPr>
        <w:t xml:space="preserve">A nonlicensed person who is aggrieved or adversely affected by the board’s final decision following a contested case hearing may seek judicial review as provided in Iowa Code section </w:t>
      </w:r>
      <w:hyperlink r:id="rId21">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905.6(6)</w:t>
      </w:r>
      <w:r>
        <w:rPr>
          <w:rFonts w:ascii="Times New Roman" w:hAnsi="Times New Roman"/>
          <w:b w:val="false"/>
          <w:i w:val="false"/>
          <w:color w:val="000000"/>
          <w:sz w:val="22"/>
        </w:rPr>
        <w:t> </w:t>
      </w:r>
      <w:r>
        <w:rPr>
          <w:rFonts w:ascii="Times New Roman" w:hAnsi="Times New Roman"/>
          <w:b w:val="false"/>
          <w:i w:val="false"/>
          <w:color w:val="000000"/>
          <w:sz w:val="22"/>
        </w:rPr>
        <w:t xml:space="preserve">A nonlicensee may waive the right to hearing and all attendant rights and enter into a consent order imposing a civil penalty and requiring compliance with Iowa Code chapter </w:t>
      </w:r>
      <w:hyperlink r:id="rId22">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 xml:space="preserve"> at any stage of the proceeding upon mutual consent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905.6(7)</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intent to issue an order and the order are public records available for inspection and copying in accordance with Iowa Code chapter </w:t>
      </w:r>
      <w:hyperlink r:id="rId23">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Copies may be published as provided in rule </w:t>
      </w:r>
      <w:hyperlink r:id="rId24">
        <w:r>
          <w:rPr>
            <w:rStyle w:val="Hyperlink"/>
            <w:rFonts w:ascii="Times New Roman" w:hAnsi="Times New Roman"/>
            <w:b w:val="false"/>
            <w:i w:val="false"/>
            <w:color w:val="000000"/>
            <w:sz w:val="22"/>
          </w:rPr>
          <w:t>481—506.30</w:t>
        </w:r>
      </w:hyperlink>
      <w:r>
        <w:rPr>
          <w:rFonts w:ascii="Times New Roman" w:hAnsi="Times New Roman"/>
          <w:b w:val="false"/>
          <w:i w:val="false"/>
          <w:color w:val="000000"/>
          <w:sz w:val="22"/>
        </w:rPr>
        <w:t>(272C). Hearings will be open to the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481—905.7</w:t>
      </w:r>
      <w:r>
        <w:rPr>
          <w:rFonts w:ascii="Times New Roman" w:hAnsi="Times New Roman"/>
          <w:b/>
          <w:i w:val="false"/>
          <w:color w:val="000000"/>
          <w:sz w:val="22"/>
        </w:rPr>
        <w:t xml:space="preserve">(156) </w:t>
      </w:r>
      <w:r>
        <w:rPr>
          <w:rFonts w:ascii="Times New Roman" w:hAnsi="Times New Roman"/>
          <w:b/>
          <w:i w:val="false"/>
          <w:color w:val="000000"/>
          <w:sz w:val="22"/>
        </w:rPr>
        <w:t xml:space="preserve">Factors to consider. </w:t>
      </w:r>
      <w:r>
        <w:rPr>
          <w:rFonts w:ascii="Times New Roman" w:hAnsi="Times New Roman"/>
          <w:b w:val="false"/>
          <w:i w:val="false"/>
          <w:color w:val="000000"/>
          <w:sz w:val="22"/>
        </w:rPr>
        <w:t>The board may consider the following when determining the amount of civil penalty to impose, if any: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Whether the amount imposed will be a substantial economic deterrent to the violation.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circumstances leading to the violation.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severity of the violation and the risk of harm to the public.</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economic benefits gained by the violator as a result of noncompliance.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interest of the public.</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time lapsed since the unlawful practice occurred.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Evidence of reform or remedial actions.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Whether the violation is a repeat offense following a prior warning letter or other notice of the nature of the infraction.</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Whether the violation involved an element of deception.</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Whether the unlawful practice violated a prior order of the board, court order, cease and desist agreement, consent order, or similar document.</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The clarity of the issue involved.</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Whether the violation was willful and intentional.</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Whether the nonlicensee acted in bad faith.</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Whether the nonlicensee cooperated with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481—905.8</w:t>
      </w:r>
      <w:r>
        <w:rPr>
          <w:rFonts w:ascii="Times New Roman" w:hAnsi="Times New Roman"/>
          <w:b/>
          <w:i w:val="false"/>
          <w:color w:val="000000"/>
          <w:sz w:val="22"/>
        </w:rPr>
        <w:t xml:space="preserve">(156) </w:t>
      </w:r>
      <w:r>
        <w:rPr>
          <w:rFonts w:ascii="Times New Roman" w:hAnsi="Times New Roman"/>
          <w:b/>
          <w:i w:val="false"/>
          <w:color w:val="000000"/>
          <w:sz w:val="22"/>
        </w:rPr>
        <w:t xml:space="preserve">Enforcement options. </w:t>
      </w:r>
      <w:r>
        <w:rPr>
          <w:rFonts w:ascii="Times New Roman" w:hAnsi="Times New Roman"/>
          <w:b w:val="false"/>
          <w:i w:val="false"/>
          <w:color w:val="000000"/>
          <w:sz w:val="22"/>
        </w:rPr>
        <w:t xml:space="preserve">In addition, or as an alternative, to the administrative process described in these rules, the board may seek an injunction in district court, refer the matter for criminal prosecution, or enter into a consent agreement as provided in Iowa Code section </w:t>
      </w:r>
      <w:hyperlink r:id="rId25">
        <w:r>
          <w:rPr>
            <w:rStyle w:val="Hyperlink"/>
            <w:rFonts w:ascii="Times New Roman" w:hAnsi="Times New Roman"/>
            <w:b w:val="false"/>
            <w:i w:val="false"/>
            <w:color w:val="000000"/>
            <w:sz w:val="22"/>
          </w:rPr>
          <w:t>156.16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7816C</w:t>
      </w:r>
      <w:r>
        <w:rPr>
          <w:rFonts w:ascii="Times New Roman" w:hAnsi="Times New Roman"/>
          <w:b w:val="false"/>
          <w:i w:val="false"/>
          <w:color w:val="000000"/>
          <w:sz w:val="21"/>
        </w:rPr>
        <w:t xml:space="preserve"> (Notice ARC 7534C,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6.16.pdf" Type="http://schemas.openxmlformats.org/officeDocument/2006/relationships/hyperlink" Id="rId5"/>
    <Relationship TargetMode="External" Target="https://www.legis.iowa.gov/docs/ico/chapter/156.16.pdf" Type="http://schemas.openxmlformats.org/officeDocument/2006/relationships/hyperlink" Id="rId6"/>
    <Relationship TargetMode="External" Target="https://www.legis.iowa.gov/docs/ico/chapter/156.pdf" Type="http://schemas.openxmlformats.org/officeDocument/2006/relationships/hyperlink" Id="rId7"/>
    <Relationship TargetMode="External" Target="https://www.legis.iowa.gov/docs/ico/chapter/156.pdf" Type="http://schemas.openxmlformats.org/officeDocument/2006/relationships/hyperlink" Id="rId8"/>
    <Relationship TargetMode="External" Target="https://www.legis.iowa.gov/docs/ico/chapter/156.pdf" Type="http://schemas.openxmlformats.org/officeDocument/2006/relationships/hyperlink" Id="rId9"/>
    <Relationship TargetMode="External" Target="https://www.legis.iowa.gov/docs/ico/chapter/156.pdf" Type="http://schemas.openxmlformats.org/officeDocument/2006/relationships/hyperlink" Id="rId10"/>
    <Relationship TargetMode="External" Target="https://www.legis.iowa.gov/docs/ico/chapter/17A.13.pdf" Type="http://schemas.openxmlformats.org/officeDocument/2006/relationships/hyperlink" Id="rId11"/>
    <Relationship TargetMode="External" Target="https://www.legis.iowa.gov/docs/ico/chapter/156.16.pdf" Type="http://schemas.openxmlformats.org/officeDocument/2006/relationships/hyperlink" Id="rId12"/>
    <Relationship TargetMode="External" Target="https://www.legis.iowa.gov/docs/ico/chapter/22.pdf" Type="http://schemas.openxmlformats.org/officeDocument/2006/relationships/hyperlink" Id="rId13"/>
    <Relationship TargetMode="External" Target="https://www.legis.iowa.gov/docs/ico/chapter/17A.13.pdf" Type="http://schemas.openxmlformats.org/officeDocument/2006/relationships/hyperlink" Id="rId14"/>
    <Relationship TargetMode="External" Target="https://www.legis.iowa.gov/docs/ico/chapter/156.16.pdf" Type="http://schemas.openxmlformats.org/officeDocument/2006/relationships/hyperlink" Id="rId15"/>
    <Relationship TargetMode="External" Target="https://www.legis.iowa.gov/docs/iac/rule/481.503.5.pdf" Type="http://schemas.openxmlformats.org/officeDocument/2006/relationships/hyperlink" Id="rId16"/>
    <Relationship TargetMode="External" Target="https://www.legis.iowa.gov/docs/ico/chapter/156.pdf" Type="http://schemas.openxmlformats.org/officeDocument/2006/relationships/hyperlink" Id="rId17"/>
    <Relationship TargetMode="External" Target="https://www.legis.iowa.gov/docs/ico/chapter/156.pdf" Type="http://schemas.openxmlformats.org/officeDocument/2006/relationships/hyperlink" Id="rId18"/>
    <Relationship TargetMode="External" Target="https://www.legis.iowa.gov/docs/ico/chapter/156.pdf" Type="http://schemas.openxmlformats.org/officeDocument/2006/relationships/hyperlink" Id="rId19"/>
    <Relationship TargetMode="External" Target="https://www.legis.iowa.gov/docs/ico/chapter/17A.19.pdf" Type="http://schemas.openxmlformats.org/officeDocument/2006/relationships/hyperlink" Id="rId20"/>
    <Relationship TargetMode="External" Target="https://www.legis.iowa.gov/docs/ico/chapter/17A.19.pdf" Type="http://schemas.openxmlformats.org/officeDocument/2006/relationships/hyperlink" Id="rId21"/>
    <Relationship TargetMode="External" Target="https://www.legis.iowa.gov/docs/ico/chapter/156.pdf" Type="http://schemas.openxmlformats.org/officeDocument/2006/relationships/hyperlink" Id="rId22"/>
    <Relationship TargetMode="External" Target="https://www.legis.iowa.gov/docs/ico/chapter/22.pdf" Type="http://schemas.openxmlformats.org/officeDocument/2006/relationships/hyperlink" Id="rId23"/>
    <Relationship TargetMode="External" Target="https://www.legis.iowa.gov/docs/iac/rule/481.506.30.pdf" Type="http://schemas.openxmlformats.org/officeDocument/2006/relationships/hyperlink" Id="rId24"/>
    <Relationship TargetMode="External" Target="https://www.legis.iowa.gov/docs/ico/chapter/156.16.pdf" Type="http://schemas.openxmlformats.org/officeDocument/2006/relationships/hyperlink" Id="rId25"/>
    <Relationship TargetMode="External" Target="https://www.legis.iowa.gov/docs/ico/chapter/17A.pdf" Type="http://schemas.openxmlformats.org/officeDocument/2006/relationships/hyperlink" Id="rId26"/>
    <Relationship TargetMode="External" Target="https://www.legis.iowa.gov/docs/ico/chapter/147.pdf" Type="http://schemas.openxmlformats.org/officeDocument/2006/relationships/hyperlink" Id="rId27"/>
    <Relationship TargetMode="External" Target="https://www.legis.iowa.gov/docs/ico/chapter/156.pdf" Type="http://schemas.openxmlformats.org/officeDocument/2006/relationships/hyperlink"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