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904</w:t>
      </w:r>
    </w:p>
    <w:p>
      <w:pPr>
        <w:spacing w:before="0" w:after="0"/>
        <w:ind w:left="120"/>
        <w:jc w:val="center"/>
      </w:pPr>
      <w:r>
        <w:rPr>
          <w:rFonts w:ascii="Times New Roman" w:hAnsi="Times New Roman"/>
          <w:b w:val="false"/>
          <w:i w:val="false"/>
          <w:color w:val="000000"/>
          <w:sz w:val="21"/>
        </w:rPr>
        <w:t>DISCIPLINARY PROCEEDINGS</w:t>
      </w:r>
    </w:p>
    <w:p>
      <w:pPr>
        <w:spacing w:before="0" w:after="0"/>
        <w:ind w:left="120"/>
        <w:jc w:val="center"/>
      </w:pPr>
      <w:r>
        <w:rPr>
          <w:rFonts w:ascii="Times New Roman" w:hAnsi="Times New Roman"/>
          <w:b w:val="false"/>
          <w:i w:val="false"/>
          <w:color w:val="000000"/>
          <w:sz w:val="14"/>
        </w:rPr>
        <w:t>[Prior to 9/18/24, see Professional Licensure Division[645] Ch 104]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481—904.1</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 individual licensed pursuant to Iowa Code section </w:t>
      </w:r>
      <w:hyperlink r:id="rId5">
        <w:r>
          <w:rPr>
            <w:rStyle w:val="Hyperlink"/>
            <w:rFonts w:ascii="Times New Roman" w:hAnsi="Times New Roman"/>
            <w:b w:val="false"/>
            <w:i w:val="false"/>
            <w:color w:val="000000"/>
            <w:sz w:val="22"/>
          </w:rPr>
          <w:t>156.4</w:t>
        </w:r>
      </w:hyperlink>
      <w:r>
        <w:rPr>
          <w:rFonts w:ascii="Times New Roman" w:hAnsi="Times New Roman"/>
          <w:b w:val="false"/>
          <w:i w:val="false"/>
          <w:color w:val="000000"/>
          <w:sz w:val="22"/>
        </w:rPr>
        <w:t xml:space="preserve"> to practice as a funeral director in Iowa and a person issued an establishment license pursuant to Iowa Code section </w:t>
      </w:r>
      <w:hyperlink r:id="rId6">
        <w:r>
          <w:rPr>
            <w:rStyle w:val="Hyperlink"/>
            <w:rFonts w:ascii="Times New Roman" w:hAnsi="Times New Roman"/>
            <w:b w:val="false"/>
            <w:i w:val="false"/>
            <w:color w:val="000000"/>
            <w:sz w:val="22"/>
          </w:rPr>
          <w:t>156.14</w:t>
        </w:r>
      </w:hyperlink>
      <w:r>
        <w:rPr>
          <w:rFonts w:ascii="Times New Roman" w:hAnsi="Times New Roman"/>
          <w:b w:val="false"/>
          <w:i w:val="false"/>
          <w:color w:val="000000"/>
          <w:sz w:val="22"/>
        </w:rPr>
        <w:t xml:space="preserve"> to establish, conduct, or maintain a funeral establishment or cremation establishment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481—904.2</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Disciplinary authority. </w:t>
      </w:r>
      <w:r>
        <w:rPr>
          <w:rFonts w:ascii="Times New Roman" w:hAnsi="Times New Roman"/>
          <w:b w:val="false"/>
          <w:i w:val="false"/>
          <w:color w:val="000000"/>
          <w:sz w:val="22"/>
        </w:rPr>
        <w:t xml:space="preserve">The board is empowered to administer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related administrative rules for the protection and well-being of those persons who may rely upon licensed individuals and establishments for the performance of mortuary science services within this state or for clients in this state. To perform these functions, the board is broadly vested with authority to review and investigate alleged acts or omissions of licensees, to determine whether disciplinary proceedings are warranted, to initiate and prosecute disciplinary proceedings, to establish standards of professional conduct, and to impose discipline pursuant to Iowa Code sections </w:t>
      </w:r>
      <w:hyperlink r:id="rId11">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272C.3 to 272C.6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chapter </w:t>
      </w:r>
      <w:hyperlink r:id="rId15">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481—904.3</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Grounds for discipline against funeral directors. </w:t>
      </w:r>
      <w:r>
        <w:rPr>
          <w:rFonts w:ascii="Times New Roman" w:hAnsi="Times New Roman"/>
          <w:b w:val="false"/>
          <w:i w:val="false"/>
          <w:color w:val="000000"/>
          <w:sz w:val="22"/>
        </w:rPr>
        <w:t xml:space="preserve">The board may initiate disciplinary action against a licensed funeral director based on Iowa Code section </w:t>
      </w:r>
      <w:hyperlink r:id="rId16">
        <w:r>
          <w:rPr>
            <w:rStyle w:val="Hyperlink"/>
            <w:rFonts w:ascii="Times New Roman" w:hAnsi="Times New Roman"/>
            <w:b w:val="false"/>
            <w:i w:val="false"/>
            <w:color w:val="000000"/>
            <w:sz w:val="22"/>
          </w:rPr>
          <w:t>156.9</w:t>
        </w:r>
      </w:hyperlink>
      <w:r>
        <w:rPr>
          <w:rFonts w:ascii="Times New Roman" w:hAnsi="Times New Roman"/>
          <w:b w:val="false"/>
          <w:i w:val="false"/>
          <w:color w:val="000000"/>
          <w:sz w:val="22"/>
        </w:rPr>
        <w:t xml:space="preserve"> and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in this state,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 when making application for a license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or the department of inspections, appeals, and licensing any false or forged diploma or certificate or affidavit or identification or qualification in making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standards of acceptable and prevailing practice of a funeral director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904.3(3)</w:t>
      </w:r>
      <w:r>
        <w:rPr>
          <w:rFonts w:ascii="Times New Roman" w:hAnsi="Times New Roman"/>
          <w:b w:val="false"/>
          <w:i w:val="false"/>
          <w:color w:val="000000"/>
          <w:sz w:val="22"/>
        </w:rPr>
        <w:t> </w:t>
      </w:r>
      <w:r>
        <w:rPr>
          <w:rFonts w:ascii="Times New Roman" w:hAnsi="Times New Roman"/>
          <w:b w:val="false"/>
          <w:i w:val="false"/>
          <w:color w:val="000000"/>
          <w:sz w:val="22"/>
        </w:rPr>
        <w:t>Deceptive practices. Deceptive practices are grounds for discipline, whether or not actual injury is established,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which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records through false or deceptive representations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false or misleading reports or information to the board, including information supplied in an audit of continuing education, reports submitted as a condition of probation, or any reports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misrepresenting any material matter to a prospective purchaser of funeral merchandise, furnishings,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funeral director when one’s license has been suspended, revoked, or surrendered, or when one’s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license for any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Misrepresenting the legal need or other requirement for embalming.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904.3(4)</w:t>
      </w:r>
      <w:r>
        <w:rPr>
          <w:rFonts w:ascii="Times New Roman" w:hAnsi="Times New Roman"/>
          <w:b w:val="false"/>
          <w:i w:val="false"/>
          <w:color w:val="000000"/>
          <w:sz w:val="22"/>
        </w:rPr>
        <w:t> </w:t>
      </w:r>
      <w:r>
        <w:rPr>
          <w:rFonts w:ascii="Times New Roman" w:hAnsi="Times New Roman"/>
          <w:b w:val="false"/>
          <w:i w:val="false"/>
          <w:color w:val="000000"/>
          <w:sz w:val="22"/>
        </w:rPr>
        <w:t>Unethical, harmful or detrimental conduct. Licensees engaging in unethical conduct or practices harmful or detrimental to the public may be disciplined whether or not injury is established. Behaviors and conduct that are unethical, harmful or detrimental to the public may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the profession that requires licensure by a different professional licensing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chapter </w:t>
      </w:r>
      <w:hyperlink r:id="rId17">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improper sexual contact, or making suggestive, lewd, lascivious, offensive or improper remarks or advances, if such behavior occurs within the practice of mortuary science or such behavior otherwise provides a reasonable basis for the board to conclude that such behavior would place the public at risk within the practice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universal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Embalming or attempting to embalm a deceased human body without first having obtained authorization from a family member or representative of the deceased, except where embalming is done to meet the requirements of applicable state or local law. However, a funeral director may embalm without authority when, after due diligence, no authorized person can be contacted and embalming is in accordance with legal or accepted standards in the community, or the licensee has good reason to believe that the family wishes embalming. The order of priority for those persons authorized to permit embalming is found in Iowa Code section </w:t>
      </w:r>
      <w:hyperlink r:id="rId18">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If embalming is performed under these circumstances, the licensee shall not be deemed to be in violation of the prohibition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keep and maintain records as required by Iowa Code chapter </w:t>
      </w:r>
      <w:hyperlink r:id="rId1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associated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904.3(5)</w:t>
      </w:r>
      <w:r>
        <w:rPr>
          <w:rFonts w:ascii="Times New Roman" w:hAnsi="Times New Roman"/>
          <w:b w:val="false"/>
          <w:i w:val="false"/>
          <w:color w:val="000000"/>
          <w:sz w:val="22"/>
        </w:rPr>
        <w:t> </w:t>
      </w:r>
      <w:r>
        <w:rPr>
          <w:rFonts w:ascii="Times New Roman" w:hAnsi="Times New Roman"/>
          <w:b w:val="false"/>
          <w:i w:val="false"/>
          <w:color w:val="000000"/>
          <w:sz w:val="22"/>
        </w:rPr>
        <w:t>Unlicensed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Practicing mortuary science when one’s license has been suspended, revoked, or surrendered, or when one’s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mortuary science within an unlicensed funeral or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Permitting an unlicensed employee or other person under the licensee’s control or supervision to perform activities requiring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aiding, assisting, procuring, advising, or allowing a person to unlawfully practice mortuary science, or aiding or abetting a licensee, license applicant or unlicensed person in committing any act or omission which is grounds for discipline under this rule or is an unlawful act by a nonlicensee under Iowa Code section </w:t>
      </w:r>
      <w:hyperlink r:id="rId20">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904.3(6)</w:t>
      </w:r>
      <w:r>
        <w:rPr>
          <w:rFonts w:ascii="Times New Roman" w:hAnsi="Times New Roman"/>
          <w:b w:val="false"/>
          <w:i w:val="false"/>
          <w:color w:val="000000"/>
          <w:sz w:val="22"/>
        </w:rPr>
        <w:t> </w:t>
      </w:r>
      <w:r>
        <w:rPr>
          <w:rFonts w:ascii="Times New Roman" w:hAnsi="Times New Roman"/>
          <w:b w:val="false"/>
          <w:i w:val="false"/>
          <w:color w:val="000000"/>
          <w:sz w:val="22"/>
        </w:rPr>
        <w:t>Lack of proper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to practice as a funeral director without satisfying the continuing education mandated by </w:t>
      </w:r>
      <w:hyperlink r:id="rId21">
        <w:r>
          <w:rPr>
            <w:rStyle w:val="Hyperlink"/>
            <w:rFonts w:ascii="Times New Roman" w:hAnsi="Times New Roman"/>
            <w:b w:val="false"/>
            <w:i w:val="false"/>
            <w:color w:val="000000"/>
            <w:sz w:val="22"/>
          </w:rPr>
          <w:t>481—Chapter 902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Acting as a preceptor or continuing education provider without proper board approval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or impairment which adversely affects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act, conduct, or condition, including lack of education or experience and careless or intentional acts or omissions, that demonstrates a lack of qualifications which are necessary to ensure a high standard of professional care as provided in Iowa Code section </w:t>
      </w:r>
      <w:hyperlink r:id="rId22">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904.3(7)</w:t>
      </w:r>
      <w:r>
        <w:rPr>
          <w:rFonts w:ascii="Times New Roman" w:hAnsi="Times New Roman"/>
          <w:b w:val="false"/>
          <w:i w:val="false"/>
          <w:color w:val="000000"/>
          <w:sz w:val="22"/>
        </w:rPr>
        <w:t> </w:t>
      </w:r>
      <w:r>
        <w:rPr>
          <w:rFonts w:ascii="Times New Roman" w:hAnsi="Times New Roman"/>
          <w:b w:val="false"/>
          <w:i w:val="false"/>
          <w:color w:val="000000"/>
          <w:sz w:val="22"/>
        </w:rPr>
        <w:t>Negligence by the licensee in the practice of the profession. Negligence by the licensee in the practice of the profession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failure to exercise due care, including negligent delegation of duties or supervision of employees or other individuals,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conduct, practice or condition which impairs a licensee’s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904.3(8)</w:t>
      </w:r>
      <w:r>
        <w:rPr>
          <w:rFonts w:ascii="Times New Roman" w:hAnsi="Times New Roman"/>
          <w:b w:val="false"/>
          <w:i w:val="false"/>
          <w:color w:val="000000"/>
          <w:sz w:val="22"/>
        </w:rPr>
        <w:t> </w:t>
      </w:r>
      <w:r>
        <w:rPr>
          <w:rFonts w:ascii="Times New Roman" w:hAnsi="Times New Roman"/>
          <w:b w:val="false"/>
          <w:i w:val="false"/>
          <w:color w:val="000000"/>
          <w:sz w:val="22"/>
        </w:rPr>
        <w:t>Professional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or law of this state, another state, or the United States, which relates to the practice of mortuary science, including but not limited to Iowa Code chapters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566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566A</w:t>
        </w:r>
      </w:hyperlink>
      <w:r>
        <w:rPr>
          <w:rFonts w:ascii="Times New Roman" w:hAnsi="Times New Roman"/>
          <w:b w:val="false"/>
          <w:i w:val="false"/>
          <w:color w:val="000000"/>
          <w:sz w:val="22"/>
        </w:rPr>
        <w:t xml:space="preserve">; board rules, including rules of professional conduct set forth in </w:t>
      </w:r>
      <w:hyperlink r:id="rId31">
        <w:r>
          <w:rPr>
            <w:rStyle w:val="Hyperlink"/>
            <w:rFonts w:ascii="Times New Roman" w:hAnsi="Times New Roman"/>
            <w:b w:val="false"/>
            <w:i w:val="false"/>
            <w:color w:val="000000"/>
            <w:sz w:val="22"/>
          </w:rPr>
          <w:t>481—Chapter 900</w:t>
        </w:r>
      </w:hyperlink>
      <w:r>
        <w:rPr>
          <w:rFonts w:ascii="Times New Roman" w:hAnsi="Times New Roman"/>
          <w:b w:val="false"/>
          <w:i w:val="false"/>
          <w:color w:val="000000"/>
          <w:sz w:val="22"/>
        </w:rPr>
        <w:t>; and regulations promulgated by the Federal Trade Commission relating to funeral services or merchandise, or funeral or cremation establishments, as applicable to the profession. Any violation involving deception, dishonesty or moral turpitude shall be deemed related to the practice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 or failure to fully cooperate with a licensee disciplinary investigation or investigation against a nonlicensee, including failure to comply with a subpoena issued by the board or to respond to a board inquiry within 30 calendar days of the date of mailing by certified mail of a written communication directed to the licensee’s last address on file at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another state, territory, or country. A stay by an appellate court shall not negate this requirement; however, if such disciplinary action is overturned or reversed by a court of last resort, discipline by the board based solely on such action shall be vacated.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904.3(9)</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The willful or repeated violation of any provision of Iowa Code chapter </w:t>
      </w:r>
      <w:hyperlink r:id="rId3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904.3(10)</w:t>
      </w:r>
      <w:r>
        <w:rPr>
          <w:rFonts w:ascii="Times New Roman" w:hAnsi="Times New Roman"/>
          <w:b w:val="false"/>
          <w:i w:val="false"/>
          <w:color w:val="000000"/>
          <w:sz w:val="22"/>
        </w:rPr>
        <w:t> </w:t>
      </w:r>
      <w:r>
        <w:rPr>
          <w:rFonts w:ascii="Times New Roman" w:hAnsi="Times New Roman"/>
          <w:b w:val="false"/>
          <w:i w:val="false"/>
          <w:color w:val="000000"/>
          <w:sz w:val="22"/>
        </w:rPr>
        <w:t>Failure to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by a licensee or an applicant for licensure to report in writing to the board any revocation, suspension, or other disciplinary action taken by a licensing authority within 30 days of the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to report, within 30 days of the action, any voluntary surrender of a professional license to resolve a pending disciplinary investigation or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judgment or settlement of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licensee to the board for any violations listed in these rules, pursuant to Iowa Code section </w:t>
      </w:r>
      <w:hyperlink r:id="rId35">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a change of name or address within 30 days after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board order or the terms of a settlement agreement or consent order, or other decision of the board imposing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904.3(12)</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904.3(13)</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an initial agreement with the impaired practitioner review committee or violation of the terms of an impaired practitioner recovery contract with the impaired practitioner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904.3(14)</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conditions of Iowa Code sections </w:t>
      </w:r>
      <w:hyperlink r:id="rId36">
        <w:r>
          <w:rPr>
            <w:rStyle w:val="Hyperlink"/>
            <w:rFonts w:ascii="Times New Roman" w:hAnsi="Times New Roman"/>
            <w:b w:val="false"/>
            <w:i w:val="false"/>
            <w:color w:val="000000"/>
            <w:sz w:val="22"/>
          </w:rPr>
          <w:t>142C.10</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142C.10A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481—904.4</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Grounds for discipline against funeral establishments and cremation establishments. </w:t>
      </w:r>
      <w:r>
        <w:rPr>
          <w:rFonts w:ascii="Times New Roman" w:hAnsi="Times New Roman"/>
          <w:b w:val="false"/>
          <w:i w:val="false"/>
          <w:color w:val="000000"/>
          <w:sz w:val="22"/>
        </w:rPr>
        <w:t xml:space="preserve">The board may initiate disciplinary action against a funeral establishment or cremation establishment, at time of license application or thereafter, based on all grounds set forth in Iowa Code section </w:t>
      </w:r>
      <w:hyperlink r:id="rId38">
        <w:r>
          <w:rPr>
            <w:rStyle w:val="Hyperlink"/>
            <w:rFonts w:ascii="Times New Roman" w:hAnsi="Times New Roman"/>
            <w:b w:val="false"/>
            <w:i w:val="false"/>
            <w:color w:val="000000"/>
            <w:sz w:val="22"/>
          </w:rPr>
          <w:t>156.15</w:t>
        </w:r>
      </w:hyperlink>
      <w:r>
        <w:rPr>
          <w:rFonts w:ascii="Times New Roman" w:hAnsi="Times New Roman"/>
          <w:b w:val="false"/>
          <w:i w:val="false"/>
          <w:color w:val="000000"/>
          <w:sz w:val="22"/>
        </w:rPr>
        <w:t>, summarized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904.4(1)</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has been convicted of a felony or any crime related to the practice of mortuary science or implicating the establishment’s ability to safely perform mortuary science services, or if the applicant is an association, joint stock company, partnership, or corporation, the managing officer or owner has been convicted of such a crime under the laws of this state, another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applicant, or any owner or employee of the establishment has violated Iowa Code chapter </w:t>
      </w:r>
      <w:hyperlink r:id="rId3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rule </w:t>
      </w:r>
      <w:hyperlink r:id="rId40">
        <w:r>
          <w:rPr>
            <w:rStyle w:val="Hyperlink"/>
            <w:rFonts w:ascii="Times New Roman" w:hAnsi="Times New Roman"/>
            <w:b w:val="false"/>
            <w:i w:val="false"/>
            <w:color w:val="000000"/>
            <w:sz w:val="22"/>
          </w:rPr>
          <w:t>481—904.3</w:t>
        </w:r>
      </w:hyperlink>
      <w:r>
        <w:rPr>
          <w:rFonts w:ascii="Times New Roman" w:hAnsi="Times New Roman"/>
          <w:b w:val="false"/>
          <w:i w:val="false"/>
          <w:color w:val="000000"/>
          <w:sz w:val="22"/>
        </w:rPr>
        <w:t>(17A,147,156,272C), or any other rule promulgated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904.4(3)</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knowingly aided, assisted, procured, or allowed a person to unlawfully practice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904.4(4)</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failed to engage in or ceased to engage in the business described in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applicant failed to keep and maintain records as required by Iowa Code chapter </w:t>
      </w:r>
      <w:hyperlink r:id="rId41">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or rules promulgated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owner of the establishment has violated the smokefree air Act, Iowa Code chapter </w:t>
      </w:r>
      <w:hyperlink r:id="rId42">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481—904.5</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Method of discipline.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Revoke a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Suspend a license until further order of the board or for a specific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Prohibit permanently, until further order of the board, or for a specific period, the licensee’s engaging in specified procedures, methods, or 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Place a licensee on probation and impose such conditions as the board may reasonably impose, including but not limited to requiring periodic reporting to the board designated features of the licensee’s practice of mortuary science.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Require additional education or training. The board may specify that a designated amount of continuing education be taken in specific subjects and may specify the time period for completing these courses. The board may also specify whether that continuing education be in addition to the continuing education routinely required for license renewal. The board may also specify that additional continuing education be a condition for the termination of any suspension or reinstatement of a license.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Require a reexamination.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Impose civil penalties not to exceed $1,000 against an individual licensed as a funeral director, or not to exceed $10,000 against a licensed funeral establishment or cremation establishment. Civil penalties may be imposed for any of the disciplinary violations specified in rules </w:t>
      </w:r>
      <w:hyperlink r:id="rId43">
        <w:r>
          <w:rPr>
            <w:rStyle w:val="Hyperlink"/>
            <w:rFonts w:ascii="Times New Roman" w:hAnsi="Times New Roman"/>
            <w:b w:val="false"/>
            <w:i w:val="false"/>
            <w:color w:val="000000"/>
            <w:sz w:val="22"/>
          </w:rPr>
          <w:t>481—904.3</w:t>
        </w:r>
      </w:hyperlink>
      <w:r>
        <w:rPr>
          <w:rFonts w:ascii="Times New Roman" w:hAnsi="Times New Roman"/>
          <w:b w:val="false"/>
          <w:i w:val="false"/>
          <w:color w:val="000000"/>
          <w:sz w:val="22"/>
        </w:rPr>
        <w:t xml:space="preserve">(17A,147,156,272C) and </w:t>
      </w:r>
      <w:hyperlink r:id="rId44">
        <w:r>
          <w:rPr>
            <w:rStyle w:val="Hyperlink"/>
            <w:rFonts w:ascii="Times New Roman" w:hAnsi="Times New Roman"/>
            <w:b w:val="false"/>
            <w:i w:val="false"/>
            <w:color w:val="000000"/>
            <w:sz w:val="22"/>
          </w:rPr>
          <w:t>481—904.4</w:t>
        </w:r>
      </w:hyperlink>
      <w:r>
        <w:rPr>
          <w:rFonts w:ascii="Times New Roman" w:hAnsi="Times New Roman"/>
          <w:b w:val="false"/>
          <w:i w:val="false"/>
          <w:color w:val="000000"/>
          <w:sz w:val="22"/>
        </w:rPr>
        <w:t>(17A,147,156,272C), as applicable.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Issue a citation and warning, or reprimand.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Refuse to issue or renew a license.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Such 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481—904.6</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Board discretion in imposing disciplinary sanctions. </w:t>
      </w:r>
      <w:r>
        <w:rPr>
          <w:rFonts w:ascii="Times New Roman" w:hAnsi="Times New Roman"/>
          <w:b w:val="false"/>
          <w:i w:val="false"/>
          <w:color w:val="000000"/>
          <w:sz w:val="22"/>
        </w:rPr>
        <w:t>Factors the board will consider when determining the nature and severity of the disciplinary sanction to be imposed, including whether to assess and the amount of civil penalties,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 nature of the violation as it relates to ensuring a high standard of professional care to the citizens of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amount of a civil penalty will be a substantial deterrent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risk of harm to the public.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 lapsed since the violation occurred.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nonlicensee acted in bad faith.</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The extent to which the licensee cooperated with the board.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Whether a licensee holding an inactive, suspended, restricted or revoked license engaged in practices which require licensure.</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Any extenuating factors or other countervailing considerations.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Number and seriousness of prior violations or complaints.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481—904.7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481—904.8</w:t>
      </w:r>
      <w:r>
        <w:rPr>
          <w:rFonts w:ascii="Times New Roman" w:hAnsi="Times New Roman"/>
          <w:b/>
          <w:i w:val="false"/>
          <w:color w:val="000000"/>
          <w:sz w:val="22"/>
        </w:rPr>
        <w:t xml:space="preserve">(17A,147,156,272C)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before the board or a committee of the board for a voluntary informal discussion of the facts and circumstances of an alleged violation. The licensee may be represented by legal counsel at the informal discussion. The licensee is not required to attend the informal discussion. By electing to attend, the licensee waives the right to seek disqualification, based upon personal investigation of a board or staff member, from participating in making a contested case decision or acting as a presiding officer in a later contested case proceeding. 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The board may seek a consent order at the time of the informal discussion. If the parties agree to a consent order, a statement of charges shall be filed simultaneously with the consent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3/23/05, Notice 2/16/05—published 4/13/05, effective 5/18/05]</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7815C</w:t>
      </w:r>
      <w:r>
        <w:rPr>
          <w:rFonts w:ascii="Times New Roman" w:hAnsi="Times New Roman"/>
          <w:b w:val="false"/>
          <w:i w:val="false"/>
          <w:color w:val="000000"/>
          <w:sz w:val="21"/>
        </w:rPr>
        <w:t xml:space="preserve"> (Notice ARC 7526C,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6.4.pdf" Type="http://schemas.openxmlformats.org/officeDocument/2006/relationships/hyperlink" Id="rId5"/>
    <Relationship TargetMode="External" Target="https://www.legis.iowa.gov/docs/ico/chapter/156.14.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6.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17A.13.pdf" Type="http://schemas.openxmlformats.org/officeDocument/2006/relationships/hyperlink" Id="rId11"/>
    <Relationship TargetMode="External" Target="https://www.legis.iowa.gov/docs/ico/chapter/147.55.pdf" Type="http://schemas.openxmlformats.org/officeDocument/2006/relationships/hyperlink" Id="rId12"/>
    <Relationship TargetMode="External" Target="https://www.legis.iowa.gov/docs/ico/chapter/272C.3-6.pdf" Type="http://schemas.openxmlformats.org/officeDocument/2006/relationships/hyperlink" Id="rId13"/>
    <Relationship TargetMode="External" Target="https://www.legis.iowa.gov/docs/ico/chapter/272C.10.pdf" Type="http://schemas.openxmlformats.org/officeDocument/2006/relationships/hyperlink" Id="rId14"/>
    <Relationship TargetMode="External" Target="https://www.legis.iowa.gov/docs/ico/chapter/156.pdf" Type="http://schemas.openxmlformats.org/officeDocument/2006/relationships/hyperlink" Id="rId15"/>
    <Relationship TargetMode="External" Target="https://www.legis.iowa.gov/docs/ico/chapter/156.9.pdf" Type="http://schemas.openxmlformats.org/officeDocument/2006/relationships/hyperlink" Id="rId16"/>
    <Relationship TargetMode="External" Target="https://www.legis.iowa.gov/docs/ico/chapter/144.pdf" Type="http://schemas.openxmlformats.org/officeDocument/2006/relationships/hyperlink" Id="rId17"/>
    <Relationship TargetMode="External" Target="https://www.legis.iowa.gov/docs/ico/chapter/144C.5.pdf" Type="http://schemas.openxmlformats.org/officeDocument/2006/relationships/hyperlink" Id="rId18"/>
    <Relationship TargetMode="External" Target="https://www.legis.iowa.gov/docs/ico/chapter/156.pdf" Type="http://schemas.openxmlformats.org/officeDocument/2006/relationships/hyperlink" Id="rId19"/>
    <Relationship TargetMode="External" Target="https://www.legis.iowa.gov/docs/ico/chapter/156.16.pdf" Type="http://schemas.openxmlformats.org/officeDocument/2006/relationships/hyperlink" Id="rId20"/>
    <Relationship TargetMode="External" Target="https://www.legis.iowa.gov/docs/iac/chapter/481.902.pdf" Type="http://schemas.openxmlformats.org/officeDocument/2006/relationships/hyperlink" Id="rId21"/>
    <Relationship TargetMode="External" Target="https://www.legis.iowa.gov/docs/ico/chapter/272C.3.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144.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56.pdf" Type="http://schemas.openxmlformats.org/officeDocument/2006/relationships/hyperlink" Id="rId26"/>
    <Relationship TargetMode="External" Target="https://www.legis.iowa.gov/docs/ico/chapter/523A.pdf" Type="http://schemas.openxmlformats.org/officeDocument/2006/relationships/hyperlink" Id="rId27"/>
    <Relationship TargetMode="External" Target="https://www.legis.iowa.gov/docs/ico/chapter/523I.pdf" Type="http://schemas.openxmlformats.org/officeDocument/2006/relationships/hyperlink" Id="rId28"/>
    <Relationship TargetMode="External" Target="https://www.legis.iowa.gov/docs/ico/chapter/566.pdf" Type="http://schemas.openxmlformats.org/officeDocument/2006/relationships/hyperlink" Id="rId29"/>
    <Relationship TargetMode="External" Target="https://www.legis.iowa.gov/docs/ico/chapter/566A.pdf" Type="http://schemas.openxmlformats.org/officeDocument/2006/relationships/hyperlink" Id="rId30"/>
    <Relationship TargetMode="External" Target="https://www.legis.iowa.gov/docs/iac/chapter/481.900.pdf" Type="http://schemas.openxmlformats.org/officeDocument/2006/relationships/hyperlink" Id="rId31"/>
    <Relationship TargetMode="External" Target="https://www.legis.iowa.gov/docs/ico/chapter/147.pdf" Type="http://schemas.openxmlformats.org/officeDocument/2006/relationships/hyperlink" Id="rId32"/>
    <Relationship TargetMode="External" Target="https://www.legis.iowa.gov/docs/ico/chapter/156.pdf" Type="http://schemas.openxmlformats.org/officeDocument/2006/relationships/hyperlink" Id="rId33"/>
    <Relationship TargetMode="External" Target="https://www.legis.iowa.gov/docs/ico/chapter/272C.pdf" Type="http://schemas.openxmlformats.org/officeDocument/2006/relationships/hyperlink" Id="rId34"/>
    <Relationship TargetMode="External" Target="https://www.legis.iowa.gov/docs/ico/chapter/272C.9.pdf" Type="http://schemas.openxmlformats.org/officeDocument/2006/relationships/hyperlink" Id="rId35"/>
    <Relationship TargetMode="External" Target="https://www.legis.iowa.gov/docs/ico/chapter/142C.10.pdf" Type="http://schemas.openxmlformats.org/officeDocument/2006/relationships/hyperlink" Id="rId36"/>
    <Relationship TargetMode="External" Target="https://www.legis.iowa.gov/docs/ico/chapter/142C.10A.pdf" Type="http://schemas.openxmlformats.org/officeDocument/2006/relationships/hyperlink" Id="rId37"/>
    <Relationship TargetMode="External" Target="https://www.legis.iowa.gov/docs/ico/chapter/156.15.pdf" Type="http://schemas.openxmlformats.org/officeDocument/2006/relationships/hyperlink" Id="rId38"/>
    <Relationship TargetMode="External" Target="https://www.legis.iowa.gov/docs/ico/chapter/156.pdf" Type="http://schemas.openxmlformats.org/officeDocument/2006/relationships/hyperlink" Id="rId39"/>
    <Relationship TargetMode="External" Target="https://www.legis.iowa.gov/docs/iac/rule/481.904.3.pdf" Type="http://schemas.openxmlformats.org/officeDocument/2006/relationships/hyperlink" Id="rId40"/>
    <Relationship TargetMode="External" Target="https://www.legis.iowa.gov/docs/ico/chapter/156.pdf" Type="http://schemas.openxmlformats.org/officeDocument/2006/relationships/hyperlink" Id="rId41"/>
    <Relationship TargetMode="External" Target="https://www.legis.iowa.gov/docs/ico/chapter/142D.pdf" Type="http://schemas.openxmlformats.org/officeDocument/2006/relationships/hyperlink" Id="rId42"/>
    <Relationship TargetMode="External" Target="https://www.legis.iowa.gov/docs/iac/rule/481.904.3.pdf" Type="http://schemas.openxmlformats.org/officeDocument/2006/relationships/hyperlink" Id="rId43"/>
    <Relationship TargetMode="External" Target="https://www.legis.iowa.gov/docs/iac/rule/481.904.4.pdf" Type="http://schemas.openxmlformats.org/officeDocument/2006/relationships/hyperlink" Id="rId44"/>
    <Relationship TargetMode="External" Target="https://www.legis.iowa.gov/docs/ico/chapter/17A.pdf" Type="http://schemas.openxmlformats.org/officeDocument/2006/relationships/hyperlink" Id="rId45"/>
    <Relationship TargetMode="External" Target="https://www.legis.iowa.gov/docs/ico/chapter/147.pdf" Type="http://schemas.openxmlformats.org/officeDocument/2006/relationships/hyperlink" Id="rId46"/>
    <Relationship TargetMode="External" Target="https://www.legis.iowa.gov/docs/ico/chapter/156.pdf" Type="http://schemas.openxmlformats.org/officeDocument/2006/relationships/hyperlink" Id="rId47"/>
    <Relationship TargetMode="External" Target="https://www.legis.iowa.gov/docs/ico/chapter/272C.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