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90</w:t>
      </w:r>
    </w:p>
    <w:p>
      <w:pPr>
        <w:spacing w:before="0" w:after="0"/>
        <w:ind w:left="120"/>
        <w:jc w:val="center"/>
      </w:pPr>
      <w:r>
        <w:rPr>
          <w:rFonts w:ascii="Times New Roman" w:hAnsi="Times New Roman"/>
          <w:b w:val="false"/>
          <w:i w:val="false"/>
          <w:color w:val="000000"/>
          <w:sz w:val="21"/>
        </w:rPr>
        <w:t>PUBLIC ASSISTANCE DEBT RECOVERY UNIT (PADRU)</w:t>
      </w:r>
    </w:p>
    <w:p>
      <w:pPr>
        <w:spacing w:before="0" w:after="0"/>
        <w:ind w:left="120"/>
        <w:jc w:val="center"/>
      </w:pPr>
      <w:r>
        <w:rPr>
          <w:rFonts w:ascii="Times New Roman" w:hAnsi="Times New Roman"/>
          <w:b w:val="false"/>
          <w:i w:val="false"/>
          <w:color w:val="000000"/>
          <w:sz w:val="20"/>
        </w:rPr>
        <w:t>[Prior to 4/7/10, see 481—Ch 71]</w:t>
      </w:r>
    </w:p>
    <w:p>
      <w:pPr>
        <w:spacing w:before="0" w:after="0"/>
        <w:ind w:left="120"/>
        <w:jc w:val="both"/>
      </w:pPr>
      <w:r>
        <w:rPr>
          <w:rFonts w:ascii="Times New Roman" w:hAnsi="Times New Roman"/>
          <w:b w:val="false"/>
          <w:i w:val="false"/>
          <w:color w:val="000000"/>
          <w:sz w:val="22"/>
        </w:rPr>
        <w:t> </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2/25/31</w:t>
      </w:r>
    </w:p>
    <w:p>
      <w:pPr>
        <w:spacing w:before="0" w:after="0"/>
        <w:ind w:left="120"/>
        <w:jc w:val="both"/>
      </w:pPr>
      <w:r>
        <w:br/>
      </w:r>
    </w:p>
    <w:p>
      <w:pPr>
        <w:spacing w:before="0" w:after="0"/>
        <w:ind w:left="120"/>
        <w:jc w:val="center"/>
      </w:pPr>
      <w:r>
        <w:rPr>
          <w:rFonts w:ascii="Times New Roman" w:hAnsi="Times New Roman"/>
          <w:b w:val="false"/>
          <w:i w:val="false"/>
          <w:color w:val="000000"/>
          <w:sz w:val="22"/>
        </w:rPr>
        <w:t>PREAMBLE</w:t>
      </w:r>
    </w:p>
    <w:p>
      <w:pPr>
        <w:spacing w:before="0" w:after="0"/>
        <w:ind w:left="120"/>
        <w:jc w:val="both"/>
      </w:pPr>
      <w:r>
        <w:rPr>
          <w:rFonts w:ascii="Times New Roman" w:hAnsi="Times New Roman"/>
          <w:b w:val="false"/>
          <w:i w:val="false"/>
          <w:color w:val="000000"/>
          <w:sz w:val="22"/>
        </w:rPr>
        <w:t xml:space="preserve">More information related to this chapter can be found in </w:t>
      </w:r>
      <w:hyperlink r:id="rId5">
        <w:r>
          <w:rPr>
            <w:rStyle w:val="Hyperlink"/>
            <w:rFonts w:ascii="Times New Roman" w:hAnsi="Times New Roman"/>
            <w:b w:val="false"/>
            <w:i w:val="false"/>
            <w:color w:val="000000"/>
            <w:sz w:val="22"/>
          </w:rPr>
          <w:t>441—Chapter 11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0013D</w:t>
      </w:r>
      <w:r>
        <w:rPr>
          <w:rFonts w:ascii="Times New Roman" w:hAnsi="Times New Roman"/>
          <w:b w:val="false"/>
          <w:i w:val="false"/>
          <w:color w:val="000000"/>
          <w:sz w:val="16"/>
        </w:rPr>
        <w:t>, IAB 1/21/26, effective 2/25/26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481—90.1</w:t>
      </w:r>
      <w:r>
        <w:rPr>
          <w:rFonts w:ascii="Times New Roman" w:hAnsi="Times New Roman"/>
          <w:b/>
          <w:i w:val="false"/>
          <w:color w:val="000000"/>
          <w:sz w:val="22"/>
        </w:rPr>
        <w:t xml:space="preserve">(10A) </w:t>
      </w:r>
      <w:r>
        <w:rPr>
          <w:rFonts w:ascii="Times New Roman" w:hAnsi="Times New Roman"/>
          <w:b/>
          <w:i w:val="false"/>
          <w:color w:val="000000"/>
          <w:sz w:val="22"/>
        </w:rPr>
        <w:t xml:space="preserve">Definitions. </w:t>
      </w:r>
      <w:r>
        <w:rPr>
          <w:rFonts w:ascii="Times New Roman" w:hAnsi="Times New Roman"/>
          <w:b w:val="false"/>
          <w:i w:val="false"/>
          <w:color w:val="000000"/>
          <w:sz w:val="22"/>
        </w:rPr>
        <w:t>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“Active case”</w:t>
      </w:r>
      <w:r>
        <w:rPr>
          <w:rFonts w:ascii="Times New Roman" w:hAnsi="Times New Roman"/>
          <w:b w:val="false"/>
          <w:i w:val="false"/>
          <w:color w:val="000000"/>
          <w:sz w:val="22"/>
        </w:rPr>
        <w:t> </w:t>
      </w:r>
      <w:r>
        <w:rPr>
          <w:rFonts w:ascii="Times New Roman" w:hAnsi="Times New Roman"/>
          <w:b w:val="false"/>
          <w:i w:val="false"/>
          <w:color w:val="000000"/>
          <w:sz w:val="22"/>
        </w:rPr>
        <w:t>means a household that is receiving public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“Allotment reduction”</w:t>
      </w:r>
      <w:r>
        <w:rPr>
          <w:rFonts w:ascii="Times New Roman" w:hAnsi="Times New Roman"/>
          <w:b w:val="false"/>
          <w:i w:val="false"/>
          <w:color w:val="000000"/>
          <w:sz w:val="22"/>
        </w:rPr>
        <w:t> </w:t>
      </w:r>
      <w:r>
        <w:rPr>
          <w:rFonts w:ascii="Times New Roman" w:hAnsi="Times New Roman"/>
          <w:b w:val="false"/>
          <w:i w:val="false"/>
          <w:color w:val="000000"/>
          <w:sz w:val="22"/>
        </w:rPr>
        <w:t>means an amount withheld from a financial or SNAP benefit.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“Benefit reduction”</w:t>
      </w:r>
      <w:r>
        <w:rPr>
          <w:rFonts w:ascii="Times New Roman" w:hAnsi="Times New Roman"/>
          <w:b w:val="false"/>
          <w:i w:val="false"/>
          <w:color w:val="000000"/>
          <w:sz w:val="22"/>
        </w:rPr>
        <w:t> </w:t>
      </w:r>
      <w:r>
        <w:rPr>
          <w:rFonts w:ascii="Times New Roman" w:hAnsi="Times New Roman"/>
          <w:b w:val="false"/>
          <w:i w:val="false"/>
          <w:color w:val="000000"/>
          <w:sz w:val="22"/>
        </w:rPr>
        <w:t>refers to SNAP.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“Debt”</w:t>
      </w:r>
      <w:r>
        <w:rPr>
          <w:rFonts w:ascii="Times New Roman" w:hAnsi="Times New Roman"/>
          <w:b w:val="false"/>
          <w:i w:val="false"/>
          <w:color w:val="000000"/>
          <w:sz w:val="22"/>
        </w:rPr>
        <w:t> </w:t>
      </w:r>
      <w:r>
        <w:rPr>
          <w:rFonts w:ascii="Times New Roman" w:hAnsi="Times New Roman"/>
          <w:b w:val="false"/>
          <w:i w:val="false"/>
          <w:color w:val="000000"/>
          <w:sz w:val="22"/>
        </w:rPr>
        <w:t>means the dollar amount of public assistance, by program, received by or on behalf of a person or provider in excess of that allowed by law, rules, or regulations for any given month(s); or the dollar amount of public assistance unlawfully transferred or obtained in violation of program rules; or the dollar amount of unpaid IowaCare personal financial responsibility obligations.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“Debtor”</w:t>
      </w:r>
      <w:r>
        <w:rPr>
          <w:rFonts w:ascii="Times New Roman" w:hAnsi="Times New Roman"/>
          <w:b w:val="false"/>
          <w:i w:val="false"/>
          <w:color w:val="000000"/>
          <w:sz w:val="22"/>
        </w:rPr>
        <w:t> </w:t>
      </w:r>
      <w:r>
        <w:rPr>
          <w:rFonts w:ascii="Times New Roman" w:hAnsi="Times New Roman"/>
          <w:b w:val="false"/>
          <w:i w:val="false"/>
          <w:color w:val="000000"/>
          <w:sz w:val="22"/>
        </w:rPr>
        <w:t>means any person who has been determined by HHS or by the department to be responsible for the repayment of a particular public assistance debt.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“Department”</w:t>
      </w:r>
      <w:r>
        <w:rPr>
          <w:rFonts w:ascii="Times New Roman" w:hAnsi="Times New Roman"/>
          <w:b w:val="false"/>
          <w:i w:val="false"/>
          <w:color w:val="000000"/>
          <w:sz w:val="22"/>
        </w:rPr>
        <w:t> </w:t>
      </w:r>
      <w:r>
        <w:rPr>
          <w:rFonts w:ascii="Times New Roman" w:hAnsi="Times New Roman"/>
          <w:b w:val="false"/>
          <w:i w:val="false"/>
          <w:color w:val="000000"/>
          <w:sz w:val="22"/>
        </w:rPr>
        <w:t>means the department of inspections, appeals, and licensing.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“Economic fraud bureau”</w:t>
      </w:r>
      <w:r>
        <w:rPr>
          <w:rFonts w:ascii="Times New Roman" w:hAnsi="Times New Roman"/>
          <w:b w:val="false"/>
          <w:i w:val="false"/>
          <w:color w:val="000000"/>
          <w:sz w:val="22"/>
        </w:rPr>
        <w:t> </w:t>
      </w:r>
      <w:r>
        <w:rPr>
          <w:rFonts w:ascii="Times New Roman" w:hAnsi="Times New Roman"/>
          <w:b w:val="false"/>
          <w:i w:val="false"/>
          <w:color w:val="000000"/>
          <w:sz w:val="22"/>
        </w:rPr>
        <w:t>means the economic fraud bureau of the investigations division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“FIP”</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family investment program described in 441—Chapters </w:t>
      </w:r>
      <w:hyperlink r:id="rId6">
        <w:r>
          <w:rPr>
            <w:rStyle w:val="Hyperlink"/>
            <w:rFonts w:ascii="Times New Roman" w:hAnsi="Times New Roman"/>
            <w:b w:val="false"/>
            <w:i w:val="false"/>
            <w:color w:val="000000"/>
            <w:sz w:val="22"/>
          </w:rPr>
          <w:t>40</w:t>
        </w:r>
      </w:hyperlink>
      <w:r>
        <w:rPr>
          <w:rFonts w:ascii="Times New Roman" w:hAnsi="Times New Roman"/>
          <w:b w:val="false"/>
          <w:i w:val="false"/>
          <w:color w:val="000000"/>
          <w:sz w:val="22"/>
        </w:rPr>
        <w:t xml:space="preserve">, </w:t>
      </w:r>
      <w:hyperlink r:id="rId7">
        <w:r>
          <w:rPr>
            <w:rStyle w:val="Hyperlink"/>
            <w:rFonts w:ascii="Times New Roman" w:hAnsi="Times New Roman"/>
            <w:b w:val="false"/>
            <w:i w:val="false"/>
            <w:color w:val="000000"/>
            <w:sz w:val="22"/>
          </w:rPr>
          <w:t>41</w:t>
        </w:r>
      </w:hyperlink>
      <w:r>
        <w:rPr>
          <w:rFonts w:ascii="Times New Roman" w:hAnsi="Times New Roman"/>
          <w:b w:val="false"/>
          <w:i w:val="false"/>
          <w:color w:val="000000"/>
          <w:sz w:val="22"/>
        </w:rPr>
        <w:t xml:space="preserve">, </w:t>
      </w:r>
      <w:hyperlink r:id="rId8">
        <w:r>
          <w:rPr>
            <w:rStyle w:val="Hyperlink"/>
            <w:rFonts w:ascii="Times New Roman" w:hAnsi="Times New Roman"/>
            <w:b w:val="false"/>
            <w:i w:val="false"/>
            <w:color w:val="000000"/>
            <w:sz w:val="22"/>
          </w:rPr>
          <w:t>45</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46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“Grant reduction”</w:t>
      </w:r>
      <w:r>
        <w:rPr>
          <w:rFonts w:ascii="Times New Roman" w:hAnsi="Times New Roman"/>
          <w:b w:val="false"/>
          <w:i w:val="false"/>
          <w:color w:val="000000"/>
          <w:sz w:val="22"/>
        </w:rPr>
        <w:t> </w:t>
      </w:r>
      <w:r>
        <w:rPr>
          <w:rFonts w:ascii="Times New Roman" w:hAnsi="Times New Roman"/>
          <w:b w:val="false"/>
          <w:i w:val="false"/>
          <w:color w:val="000000"/>
          <w:sz w:val="22"/>
        </w:rPr>
        <w:t>refers to the FIP and to RCA.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“HHS”</w:t>
      </w:r>
      <w:r>
        <w:rPr>
          <w:rFonts w:ascii="Times New Roman" w:hAnsi="Times New Roman"/>
          <w:b w:val="false"/>
          <w:i w:val="false"/>
          <w:color w:val="000000"/>
          <w:sz w:val="22"/>
        </w:rPr>
        <w:t> </w:t>
      </w:r>
      <w:r>
        <w:rPr>
          <w:rFonts w:ascii="Times New Roman" w:hAnsi="Times New Roman"/>
          <w:b w:val="false"/>
          <w:i w:val="false"/>
          <w:color w:val="000000"/>
          <w:sz w:val="22"/>
        </w:rPr>
        <w:t>means the Iowa department of health and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“Notice of debt”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notice that informs the debtor that a debt in a public assistance program has occurred and identifies the debt amount, the dates on which the debt was incurred, the cause of the debt, and the options the debtor has to repay the debt (more information can be found in </w:t>
      </w:r>
      <w:hyperlink r:id="rId10">
        <w:r>
          <w:rPr>
            <w:rStyle w:val="Hyperlink"/>
            <w:rFonts w:ascii="Times New Roman" w:hAnsi="Times New Roman"/>
            <w:b w:val="false"/>
            <w:i w:val="false"/>
            <w:color w:val="000000"/>
            <w:sz w:val="22"/>
          </w:rPr>
          <w:t>441—Chapter 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“Public assistance”</w:t>
      </w:r>
      <w:r>
        <w:rPr>
          <w:rFonts w:ascii="Times New Roman" w:hAnsi="Times New Roman"/>
          <w:b w:val="false"/>
          <w:i w:val="false"/>
          <w:color w:val="000000"/>
          <w:sz w:val="22"/>
        </w:rPr>
        <w:t> </w:t>
      </w:r>
      <w:r>
        <w:rPr>
          <w:rFonts w:ascii="Times New Roman" w:hAnsi="Times New Roman"/>
          <w:b w:val="false"/>
          <w:i w:val="false"/>
          <w:color w:val="000000"/>
          <w:sz w:val="22"/>
        </w:rPr>
        <w:t>means any program that HHS administers that confers a financial, medical, or SNAP benefit.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“RCA”</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refugee cash assistance as described in </w:t>
      </w:r>
      <w:hyperlink r:id="rId11">
        <w:r>
          <w:rPr>
            <w:rStyle w:val="Hyperlink"/>
            <w:rFonts w:ascii="Times New Roman" w:hAnsi="Times New Roman"/>
            <w:b w:val="false"/>
            <w:i w:val="false"/>
            <w:color w:val="000000"/>
            <w:sz w:val="22"/>
          </w:rPr>
          <w:t>441—Chapter 60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“Recovery”</w:t>
      </w:r>
      <w:r>
        <w:rPr>
          <w:rFonts w:ascii="Times New Roman" w:hAnsi="Times New Roman"/>
          <w:b w:val="false"/>
          <w:i w:val="false"/>
          <w:color w:val="000000"/>
          <w:sz w:val="22"/>
        </w:rPr>
        <w:t> </w:t>
      </w:r>
      <w:r>
        <w:rPr>
          <w:rFonts w:ascii="Times New Roman" w:hAnsi="Times New Roman"/>
          <w:b w:val="false"/>
          <w:i w:val="false"/>
          <w:color w:val="000000"/>
          <w:sz w:val="22"/>
        </w:rPr>
        <w:t>means the repayment of a debt by direct cash or credit card payment from the debtor, by allotment reduction, by setoffs, or by garnishment of wages or assets.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“Repayment agreement”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rule </w:t>
      </w:r>
      <w:hyperlink r:id="rId12">
        <w:r>
          <w:rPr>
            <w:rStyle w:val="Hyperlink"/>
            <w:rFonts w:ascii="Times New Roman" w:hAnsi="Times New Roman"/>
            <w:b w:val="false"/>
            <w:i w:val="false"/>
            <w:color w:val="000000"/>
            <w:sz w:val="22"/>
          </w:rPr>
          <w:t>441—11.1(217)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“Setoffs”</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practice described in Iowa Code section </w:t>
      </w:r>
      <w:hyperlink r:id="rId13">
        <w:r>
          <w:rPr>
            <w:rStyle w:val="Hyperlink"/>
            <w:rFonts w:ascii="Times New Roman" w:hAnsi="Times New Roman"/>
            <w:b w:val="false"/>
            <w:i w:val="false"/>
            <w:color w:val="000000"/>
            <w:sz w:val="22"/>
          </w:rPr>
          <w:t>421.65</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701—Chapter 26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“SNAP”</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Supplemental Nutrition Assistance Program as defined in rule </w:t>
      </w:r>
      <w:hyperlink r:id="rId15">
        <w:r>
          <w:rPr>
            <w:rStyle w:val="Hyperlink"/>
            <w:rFonts w:ascii="Times New Roman" w:hAnsi="Times New Roman"/>
            <w:b w:val="false"/>
            <w:i w:val="false"/>
            <w:color w:val="000000"/>
            <w:sz w:val="22"/>
          </w:rPr>
          <w:t>441—65.1</w:t>
        </w:r>
      </w:hyperlink>
      <w:r>
        <w:rPr>
          <w:rFonts w:ascii="Times New Roman" w:hAnsi="Times New Roman"/>
          <w:b w:val="false"/>
          <w:i w:val="false"/>
          <w:color w:val="000000"/>
          <w:sz w:val="22"/>
        </w:rPr>
        <w:t>(234).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“Title XIX divestiture”</w:t>
      </w:r>
      <w:r>
        <w:rPr>
          <w:rFonts w:ascii="Times New Roman" w:hAnsi="Times New Roman"/>
          <w:b w:val="false"/>
          <w:i w:val="false"/>
          <w:color w:val="000000"/>
          <w:sz w:val="22"/>
        </w:rPr>
        <w:t> </w:t>
      </w:r>
      <w:r>
        <w:rPr>
          <w:rFonts w:ascii="Times New Roman" w:hAnsi="Times New Roman"/>
          <w:b w:val="false"/>
          <w:i w:val="false"/>
          <w:color w:val="000000"/>
          <w:sz w:val="22"/>
        </w:rPr>
        <w:t>means a debt against a person who receives transferred assets from a Medicaid applicant or recipient within five years prior to an application for medical assistance if the applicant is approved for medical assistance (Medicaid) or a transfer impacting the recovery or payment of a medical assistance (Medicaid) debt.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0013D</w:t>
      </w:r>
      <w:r>
        <w:rPr>
          <w:rFonts w:ascii="Times New Roman" w:hAnsi="Times New Roman"/>
          <w:b w:val="false"/>
          <w:i w:val="false"/>
          <w:color w:val="000000"/>
          <w:sz w:val="16"/>
        </w:rPr>
        <w:t>, IAB 1/21/26, effective 2/25/26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481—90.2</w:t>
      </w:r>
      <w:r>
        <w:rPr>
          <w:rFonts w:ascii="Times New Roman" w:hAnsi="Times New Roman"/>
          <w:b/>
          <w:i w:val="false"/>
          <w:color w:val="000000"/>
          <w:sz w:val="22"/>
        </w:rPr>
        <w:t xml:space="preserve">(10A) </w:t>
      </w:r>
      <w:r>
        <w:rPr>
          <w:rFonts w:ascii="Times New Roman" w:hAnsi="Times New Roman"/>
          <w:b/>
          <w:i w:val="false"/>
          <w:color w:val="000000"/>
          <w:sz w:val="22"/>
        </w:rPr>
        <w:t xml:space="preserve">Recovery process. </w:t>
      </w:r>
      <w:r>
        <w:rPr>
          <w:rFonts w:ascii="Times New Roman" w:hAnsi="Times New Roman"/>
          <w:b w:val="false"/>
          <w:i w:val="false"/>
          <w:color w:val="000000"/>
          <w:sz w:val="22"/>
        </w:rPr>
        <w:t>The recovery process begins when data specifying which public assistance program(s) owed a debt is successfully entered on the designated overpayment recovery system and a notice of debt is issued to the debtor.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0013D</w:t>
      </w:r>
      <w:r>
        <w:rPr>
          <w:rFonts w:ascii="Times New Roman" w:hAnsi="Times New Roman"/>
          <w:b w:val="false"/>
          <w:i w:val="false"/>
          <w:color w:val="000000"/>
          <w:sz w:val="16"/>
        </w:rPr>
        <w:t>, IAB 1/21/26, effective 2/25/26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481—90.3</w:t>
      </w:r>
      <w:r>
        <w:rPr>
          <w:rFonts w:ascii="Times New Roman" w:hAnsi="Times New Roman"/>
          <w:b/>
          <w:i w:val="false"/>
          <w:color w:val="000000"/>
          <w:sz w:val="22"/>
        </w:rPr>
        <w:t xml:space="preserve">(10A) </w:t>
      </w:r>
      <w:r>
        <w:rPr>
          <w:rFonts w:ascii="Times New Roman" w:hAnsi="Times New Roman"/>
          <w:b/>
          <w:i w:val="false"/>
          <w:color w:val="000000"/>
          <w:sz w:val="22"/>
        </w:rPr>
        <w:t xml:space="preserve">Records. </w:t>
      </w:r>
      <w:r>
        <w:rPr>
          <w:rFonts w:ascii="Times New Roman" w:hAnsi="Times New Roman"/>
          <w:b w:val="false"/>
          <w:i w:val="false"/>
          <w:color w:val="000000"/>
          <w:sz w:val="22"/>
        </w:rPr>
        <w:t xml:space="preserve">PADRU maintains an account for each debt that has occurred for a debtor filed under the debtor’s name, including information maintained pursuant to rule </w:t>
      </w:r>
      <w:hyperlink r:id="rId16">
        <w:r>
          <w:rPr>
            <w:rStyle w:val="Hyperlink"/>
            <w:rFonts w:ascii="Times New Roman" w:hAnsi="Times New Roman"/>
            <w:b w:val="false"/>
            <w:i w:val="false"/>
            <w:color w:val="000000"/>
            <w:sz w:val="22"/>
          </w:rPr>
          <w:t>441—11.2</w:t>
        </w:r>
      </w:hyperlink>
      <w:r>
        <w:rPr>
          <w:rFonts w:ascii="Times New Roman" w:hAnsi="Times New Roman"/>
          <w:b w:val="false"/>
          <w:i w:val="false"/>
          <w:color w:val="000000"/>
          <w:sz w:val="22"/>
        </w:rPr>
        <w:t>(217).</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0013D</w:t>
      </w:r>
      <w:r>
        <w:rPr>
          <w:rFonts w:ascii="Times New Roman" w:hAnsi="Times New Roman"/>
          <w:b w:val="false"/>
          <w:i w:val="false"/>
          <w:color w:val="000000"/>
          <w:sz w:val="16"/>
        </w:rPr>
        <w:t>, IAB 1/21/26, effective 2/25/26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481—90.4</w:t>
      </w:r>
      <w:r>
        <w:rPr>
          <w:rFonts w:ascii="Times New Roman" w:hAnsi="Times New Roman"/>
          <w:b/>
          <w:i w:val="false"/>
          <w:color w:val="000000"/>
          <w:sz w:val="22"/>
        </w:rPr>
        <w:t xml:space="preserve">(10A) </w:t>
      </w:r>
      <w:r>
        <w:rPr>
          <w:rFonts w:ascii="Times New Roman" w:hAnsi="Times New Roman"/>
          <w:b/>
          <w:i w:val="false"/>
          <w:color w:val="000000"/>
          <w:sz w:val="22"/>
        </w:rPr>
        <w:t xml:space="preserve">Debt repayment. </w:t>
      </w:r>
      <w:r>
        <w:rPr>
          <w:rFonts w:ascii="Times New Roman" w:hAnsi="Times New Roman"/>
          <w:b w:val="false"/>
          <w:i w:val="false"/>
          <w:color w:val="000000"/>
          <w:sz w:val="22"/>
        </w:rPr>
        <w:t xml:space="preserve">A notice of debt pursuant to 441—subrule </w:t>
      </w:r>
      <w:hyperlink r:id="rId17">
        <w:r>
          <w:rPr>
            <w:rStyle w:val="Hyperlink"/>
            <w:rFonts w:ascii="Times New Roman" w:hAnsi="Times New Roman"/>
            <w:b w:val="false"/>
            <w:i w:val="false"/>
            <w:color w:val="000000"/>
            <w:sz w:val="22"/>
          </w:rPr>
          <w:t>11.2(2)</w:t>
        </w:r>
      </w:hyperlink>
      <w:r>
        <w:rPr>
          <w:rFonts w:ascii="Times New Roman" w:hAnsi="Times New Roman"/>
          <w:b w:val="false"/>
          <w:i w:val="false"/>
          <w:color w:val="000000"/>
          <w:sz w:val="22"/>
        </w:rPr>
        <w:t xml:space="preserve"> or Form 470-0495, Agreement to Pay a Debt, is used to initiate payments of a debt. The minimum rate of payment is determined by each program unless set by a court order or otherwise negotiated by HHS. All recoveries are transmitted to the HHS cashier. Payments are made directly by cash, check, or money order or through an online payment portal by the debtor except as otherwise provided in this rule. The amount of allotment reduction for a FIP overpayment caused by an agency error will be different from the amount of allotment reduction for a client error, as determined by HHS.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90.4(1)</w:t>
      </w:r>
      <w:r>
        <w:rPr>
          <w:rFonts w:ascii="Times New Roman" w:hAnsi="Times New Roman"/>
          <w:b w:val="false"/>
          <w:i w:val="false"/>
          <w:color w:val="000000"/>
          <w:sz w:val="22"/>
        </w:rPr>
        <w:t> </w:t>
      </w:r>
      <w:r>
        <w:rPr>
          <w:rFonts w:ascii="Times New Roman" w:hAnsi="Times New Roman"/>
          <w:b w:val="false"/>
          <w:i/>
          <w:color w:val="000000"/>
          <w:sz w:val="22"/>
        </w:rPr>
        <w:t xml:space="preserve">Active cases—PROMISE JOBS program. </w:t>
      </w:r>
      <w:r>
        <w:rPr>
          <w:rFonts w:ascii="Times New Roman" w:hAnsi="Times New Roman"/>
          <w:b w:val="false"/>
          <w:i w:val="false"/>
          <w:color w:val="000000"/>
          <w:sz w:val="22"/>
        </w:rPr>
        <w:t>For payment reduction for the PROMISE JOBS program, the debtor has to provide written permission to effectuate a FIP reduction.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90.4(2)</w:t>
      </w:r>
      <w:r>
        <w:rPr>
          <w:rFonts w:ascii="Times New Roman" w:hAnsi="Times New Roman"/>
          <w:b w:val="false"/>
          <w:i w:val="false"/>
          <w:color w:val="000000"/>
          <w:sz w:val="22"/>
        </w:rPr>
        <w:t> </w:t>
      </w:r>
      <w:r>
        <w:rPr>
          <w:rFonts w:ascii="Times New Roman" w:hAnsi="Times New Roman"/>
          <w:b w:val="false"/>
          <w:i/>
          <w:color w:val="000000"/>
          <w:sz w:val="22"/>
        </w:rPr>
        <w:t xml:space="preserve">Active cases—FIP, RCA, SNAP. </w:t>
      </w:r>
      <w:r>
        <w:rPr>
          <w:rFonts w:ascii="Times New Roman" w:hAnsi="Times New Roman"/>
          <w:b w:val="false"/>
          <w:i w:val="false"/>
          <w:color w:val="000000"/>
          <w:sz w:val="22"/>
        </w:rPr>
        <w:t>Allotment reduction will be used, except that cash payment pursuant to a repayment agreement may be used when the repayment amount exceeds the amount that may be collected by allotment reduction.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90.4(3)</w:t>
      </w:r>
      <w:r>
        <w:rPr>
          <w:rFonts w:ascii="Times New Roman" w:hAnsi="Times New Roman"/>
          <w:b w:val="false"/>
          <w:i w:val="false"/>
          <w:color w:val="000000"/>
          <w:sz w:val="22"/>
        </w:rPr>
        <w:t> </w:t>
      </w:r>
      <w:r>
        <w:rPr>
          <w:rFonts w:ascii="Times New Roman" w:hAnsi="Times New Roman"/>
          <w:b w:val="false"/>
          <w:i/>
          <w:color w:val="000000"/>
          <w:sz w:val="22"/>
        </w:rPr>
        <w:t xml:space="preserve">SNAP with electronic benefit balances. </w:t>
      </w:r>
      <w:r>
        <w:rPr>
          <w:rFonts w:ascii="Times New Roman" w:hAnsi="Times New Roman"/>
          <w:b w:val="false"/>
          <w:i w:val="false"/>
          <w:color w:val="000000"/>
          <w:sz w:val="22"/>
        </w:rPr>
        <w:t>SNAP payments may be made by returning electronic benefits to pay the debt.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0013D</w:t>
      </w:r>
      <w:r>
        <w:rPr>
          <w:rFonts w:ascii="Times New Roman" w:hAnsi="Times New Roman"/>
          <w:b w:val="false"/>
          <w:i w:val="false"/>
          <w:color w:val="000000"/>
          <w:sz w:val="16"/>
        </w:rPr>
        <w:t>, IAB 1/21/26, effective 2/25/26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481—90.5</w:t>
      </w:r>
      <w:r>
        <w:rPr>
          <w:rFonts w:ascii="Times New Roman" w:hAnsi="Times New Roman"/>
          <w:b/>
          <w:i w:val="false"/>
          <w:color w:val="000000"/>
          <w:sz w:val="22"/>
        </w:rPr>
        <w:t xml:space="preserve">(10A) </w:t>
      </w:r>
      <w:r>
        <w:rPr>
          <w:rFonts w:ascii="Times New Roman" w:hAnsi="Times New Roman"/>
          <w:b/>
          <w:i w:val="false"/>
          <w:color w:val="000000"/>
          <w:sz w:val="22"/>
        </w:rPr>
        <w:t xml:space="preserve">Further collection action. </w:t>
      </w:r>
      <w:r>
        <w:rPr>
          <w:rFonts w:ascii="Times New Roman" w:hAnsi="Times New Roman"/>
          <w:b w:val="false"/>
          <w:i w:val="false"/>
          <w:color w:val="000000"/>
          <w:sz w:val="22"/>
        </w:rPr>
        <w:t xml:space="preserve">If complete repayment has not been received by the methods described in rule </w:t>
      </w:r>
      <w:hyperlink r:id="rId18">
        <w:r>
          <w:rPr>
            <w:rStyle w:val="Hyperlink"/>
            <w:rFonts w:ascii="Times New Roman" w:hAnsi="Times New Roman"/>
            <w:b w:val="false"/>
            <w:i w:val="false"/>
            <w:color w:val="000000"/>
            <w:sz w:val="22"/>
          </w:rPr>
          <w:t>481—90.4</w:t>
        </w:r>
      </w:hyperlink>
      <w:r>
        <w:rPr>
          <w:rFonts w:ascii="Times New Roman" w:hAnsi="Times New Roman"/>
          <w:b w:val="false"/>
          <w:i w:val="false"/>
          <w:color w:val="000000"/>
          <w:sz w:val="22"/>
        </w:rPr>
        <w:t>(10A), or if the repayment agreement is not returned, further collection action may be taken. This action includes but is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90.5(1)</w:t>
      </w:r>
      <w:r>
        <w:rPr>
          <w:rFonts w:ascii="Times New Roman" w:hAnsi="Times New Roman"/>
          <w:b w:val="false"/>
          <w:i w:val="false"/>
          <w:color w:val="000000"/>
          <w:sz w:val="22"/>
        </w:rPr>
        <w:t> </w:t>
      </w:r>
      <w:r>
        <w:rPr>
          <w:rFonts w:ascii="Times New Roman" w:hAnsi="Times New Roman"/>
          <w:b w:val="false"/>
          <w:i/>
          <w:color w:val="000000"/>
          <w:sz w:val="22"/>
        </w:rPr>
        <w:t xml:space="preserve">For all debts.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Debts of $6,500 or less, small claims court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Debts of more than $6,500, referral to the attorney general for district court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State income tax refund setoffs in accordance with </w:t>
      </w:r>
      <w:hyperlink r:id="rId19">
        <w:r>
          <w:rPr>
            <w:rStyle w:val="Hyperlink"/>
            <w:rFonts w:ascii="Times New Roman" w:hAnsi="Times New Roman"/>
            <w:b w:val="false"/>
            <w:i w:val="false"/>
            <w:color w:val="000000"/>
            <w:sz w:val="22"/>
          </w:rPr>
          <w:t>441—Chapter 11</w:t>
        </w:r>
      </w:hyperlink>
      <w:r>
        <w:rPr>
          <w:rFonts w:ascii="Times New Roman" w:hAnsi="Times New Roman"/>
          <w:b w:val="false"/>
          <w:i w:val="false"/>
          <w:color w:val="000000"/>
          <w:sz w:val="22"/>
        </w:rPr>
        <w:t xml:space="preserve"> and Iowa Code section </w:t>
      </w:r>
      <w:hyperlink r:id="rId20">
        <w:r>
          <w:rPr>
            <w:rStyle w:val="Hyperlink"/>
            <w:rFonts w:ascii="Times New Roman" w:hAnsi="Times New Roman"/>
            <w:b w:val="false"/>
            <w:i w:val="false"/>
            <w:color w:val="000000"/>
            <w:sz w:val="22"/>
          </w:rPr>
          <w:t>421.65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filing of a claim in a debtor’s estate or bankruptcy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Garnishment of wages or assets.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Setoffs of a state warrant.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Distress warrants.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Liens.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90.5(2)</w:t>
      </w:r>
      <w:r>
        <w:rPr>
          <w:rFonts w:ascii="Times New Roman" w:hAnsi="Times New Roman"/>
          <w:b w:val="false"/>
          <w:i w:val="false"/>
          <w:color w:val="000000"/>
          <w:sz w:val="22"/>
        </w:rPr>
        <w:t> </w:t>
      </w:r>
      <w:r>
        <w:rPr>
          <w:rFonts w:ascii="Times New Roman" w:hAnsi="Times New Roman"/>
          <w:b w:val="false"/>
          <w:i/>
          <w:color w:val="000000"/>
          <w:sz w:val="22"/>
        </w:rPr>
        <w:t xml:space="preserve">For SNAP debts. </w:t>
      </w:r>
      <w:r>
        <w:rPr>
          <w:rFonts w:ascii="Times New Roman" w:hAnsi="Times New Roman"/>
          <w:b w:val="false"/>
          <w:i w:val="false"/>
          <w:color w:val="000000"/>
          <w:sz w:val="22"/>
        </w:rPr>
        <w:t xml:space="preserve">In addition to the above actions, federal offsets may be used for the collection of SNAP debts in accordance with rule </w:t>
      </w:r>
      <w:hyperlink r:id="rId21">
        <w:r>
          <w:rPr>
            <w:rStyle w:val="Hyperlink"/>
            <w:rFonts w:ascii="Times New Roman" w:hAnsi="Times New Roman"/>
            <w:b w:val="false"/>
            <w:i w:val="false"/>
            <w:color w:val="000000"/>
            <w:sz w:val="22"/>
          </w:rPr>
          <w:t>441—11.5</w:t>
        </w:r>
      </w:hyperlink>
      <w:r>
        <w:rPr>
          <w:rFonts w:ascii="Times New Roman" w:hAnsi="Times New Roman"/>
          <w:b w:val="false"/>
          <w:i w:val="false"/>
          <w:color w:val="000000"/>
          <w:sz w:val="22"/>
        </w:rPr>
        <w:t>(234).</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0013D</w:t>
      </w:r>
      <w:r>
        <w:rPr>
          <w:rFonts w:ascii="Times New Roman" w:hAnsi="Times New Roman"/>
          <w:b w:val="false"/>
          <w:i w:val="false"/>
          <w:color w:val="000000"/>
          <w:sz w:val="16"/>
        </w:rPr>
        <w:t>, IAB 1/21/26, effective 2/25/26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481—90.6</w:t>
      </w:r>
      <w:r>
        <w:rPr>
          <w:rFonts w:ascii="Times New Roman" w:hAnsi="Times New Roman"/>
          <w:b/>
          <w:i w:val="false"/>
          <w:color w:val="000000"/>
          <w:sz w:val="22"/>
        </w:rPr>
        <w:t xml:space="preserve">(10A) </w:t>
      </w:r>
      <w:r>
        <w:rPr>
          <w:rFonts w:ascii="Times New Roman" w:hAnsi="Times New Roman"/>
          <w:b/>
          <w:i w:val="false"/>
          <w:color w:val="000000"/>
          <w:sz w:val="22"/>
        </w:rPr>
        <w:t xml:space="preserve">Appeal rights. </w:t>
      </w:r>
      <w:r>
        <w:rPr>
          <w:rFonts w:ascii="Times New Roman" w:hAnsi="Times New Roman"/>
          <w:b w:val="false"/>
          <w:i w:val="false"/>
          <w:color w:val="000000"/>
          <w:sz w:val="22"/>
        </w:rPr>
        <w:t xml:space="preserve">If a notice of debt or other notice of adverse action is received by the debtor and the debtor wishes to contest the debt, an appeal is submitted to the recovery unit or to HHS. If an appeal is submitted, the recovery process is suspended until conclusion of the appeal process outlined in </w:t>
      </w:r>
      <w:hyperlink r:id="rId22">
        <w:r>
          <w:rPr>
            <w:rStyle w:val="Hyperlink"/>
            <w:rFonts w:ascii="Times New Roman" w:hAnsi="Times New Roman"/>
            <w:b w:val="false"/>
            <w:i w:val="false"/>
            <w:color w:val="000000"/>
            <w:sz w:val="22"/>
          </w:rPr>
          <w:t>7—Chapter 2506</w:t>
        </w:r>
      </w:hyperlink>
      <w:r>
        <w:rPr>
          <w:rFonts w:ascii="Times New Roman" w:hAnsi="Times New Roman"/>
          <w:b w:val="false"/>
          <w:i w:val="false"/>
          <w:color w:val="000000"/>
          <w:sz w:val="22"/>
        </w:rPr>
        <w:t xml:space="preserve"> and </w:t>
      </w:r>
      <w:hyperlink r:id="rId23">
        <w:r>
          <w:rPr>
            <w:rStyle w:val="Hyperlink"/>
            <w:rFonts w:ascii="Times New Roman" w:hAnsi="Times New Roman"/>
            <w:b w:val="false"/>
            <w:i w:val="false"/>
            <w:color w:val="000000"/>
            <w:sz w:val="22"/>
          </w:rPr>
          <w:t>441—Chapter 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0013D</w:t>
      </w:r>
      <w:r>
        <w:rPr>
          <w:rFonts w:ascii="Times New Roman" w:hAnsi="Times New Roman"/>
          <w:b w:val="false"/>
          <w:i w:val="false"/>
          <w:color w:val="000000"/>
          <w:sz w:val="16"/>
        </w:rPr>
        <w:t>, IAB 1/21/26, effective 2/25/26</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8/5/26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481—90.7</w:t>
      </w:r>
      <w:r>
        <w:rPr>
          <w:rFonts w:ascii="Times New Roman" w:hAnsi="Times New Roman"/>
          <w:b/>
          <w:i w:val="false"/>
          <w:color w:val="000000"/>
          <w:sz w:val="22"/>
        </w:rPr>
        <w:t xml:space="preserve">(10A) </w:t>
      </w:r>
      <w:r>
        <w:rPr>
          <w:rFonts w:ascii="Times New Roman" w:hAnsi="Times New Roman"/>
          <w:b/>
          <w:i w:val="false"/>
          <w:color w:val="000000"/>
          <w:sz w:val="22"/>
        </w:rPr>
        <w:t xml:space="preserve">Data processing systems matches. </w:t>
      </w:r>
      <w:r>
        <w:rPr>
          <w:rFonts w:ascii="Times New Roman" w:hAnsi="Times New Roman"/>
          <w:b w:val="false"/>
          <w:i w:val="false"/>
          <w:color w:val="000000"/>
          <w:sz w:val="22"/>
        </w:rPr>
        <w:t>The recovery unit compares information with other data processing systems to identify the location, resources, or income of a debtor. Part or all of a data processing system is used. The recovery unit uses but is not limited to using the data processing systems of the following entities: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Social Security Administration,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Department of workforce development,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Department of revenue,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Department of administrative services,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Department of transportation (driver’s license and motor vehicle registration), and</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Department of health and human services.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0013D</w:t>
      </w:r>
      <w:r>
        <w:rPr>
          <w:rFonts w:ascii="Times New Roman" w:hAnsi="Times New Roman"/>
          <w:b w:val="false"/>
          <w:i w:val="false"/>
          <w:color w:val="000000"/>
          <w:sz w:val="16"/>
        </w:rPr>
        <w:t>, IAB 1/21/26, effective 2/25/26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481—90.8</w:t>
      </w:r>
      <w:r>
        <w:rPr>
          <w:rFonts w:ascii="Times New Roman" w:hAnsi="Times New Roman"/>
          <w:b/>
          <w:i w:val="false"/>
          <w:color w:val="000000"/>
          <w:sz w:val="22"/>
        </w:rPr>
        <w:t xml:space="preserve">(10A) </w:t>
      </w:r>
      <w:r>
        <w:rPr>
          <w:rFonts w:ascii="Times New Roman" w:hAnsi="Times New Roman"/>
          <w:b/>
          <w:i w:val="false"/>
          <w:color w:val="000000"/>
          <w:sz w:val="22"/>
        </w:rPr>
        <w:t xml:space="preserve">Confidentiality. </w:t>
      </w:r>
      <w:r>
        <w:rPr>
          <w:rFonts w:ascii="Times New Roman" w:hAnsi="Times New Roman"/>
          <w:b w:val="false"/>
          <w:i w:val="false"/>
          <w:color w:val="000000"/>
          <w:sz w:val="22"/>
        </w:rPr>
        <w:t xml:space="preserve">The confidentiality of records is in accordance with </w:t>
      </w:r>
      <w:hyperlink r:id="rId24">
        <w:r>
          <w:rPr>
            <w:rStyle w:val="Hyperlink"/>
            <w:rFonts w:ascii="Times New Roman" w:hAnsi="Times New Roman"/>
            <w:b w:val="false"/>
            <w:i w:val="false"/>
            <w:color w:val="000000"/>
            <w:sz w:val="22"/>
          </w:rPr>
          <w:t>441—Chapter 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0013D</w:t>
      </w:r>
      <w:r>
        <w:rPr>
          <w:rFonts w:ascii="Times New Roman" w:hAnsi="Times New Roman"/>
          <w:b w:val="false"/>
          <w:i w:val="false"/>
          <w:color w:val="000000"/>
          <w:sz w:val="16"/>
        </w:rPr>
        <w:t>, IAB 1/21/26, effective 2/25/26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25">
        <w:r>
          <w:rPr>
            <w:rStyle w:val="Hyperlink"/>
            <w:rFonts w:ascii="Times New Roman" w:hAnsi="Times New Roman"/>
            <w:b w:val="false"/>
            <w:i w:val="false"/>
            <w:color w:val="000000"/>
            <w:sz w:val="22"/>
          </w:rPr>
          <w:t>10A.402</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9/18/87, Notice 7/29/87—published 10/7/87, effective 11/11/87]</w:t>
      </w:r>
    </w:p>
    <w:p>
      <w:pPr>
        <w:spacing w:before="0" w:after="0"/>
        <w:ind w:left="120"/>
        <w:jc w:val="center"/>
      </w:pPr>
      <w:r>
        <w:rPr>
          <w:rFonts w:ascii="Times New Roman" w:hAnsi="Times New Roman"/>
          <w:b w:val="false"/>
          <w:i w:val="false"/>
          <w:color w:val="000000"/>
          <w:sz w:val="21"/>
        </w:rPr>
        <w:t>[Filed 1/5/90, Notice 8/23/89—published 1/24/90, effective 2/28/90]</w:t>
      </w:r>
    </w:p>
    <w:p>
      <w:pPr>
        <w:spacing w:before="0" w:after="0"/>
        <w:ind w:left="120"/>
        <w:jc w:val="center"/>
      </w:pPr>
      <w:r>
        <w:rPr>
          <w:rFonts w:ascii="Times New Roman" w:hAnsi="Times New Roman"/>
          <w:b w:val="false"/>
          <w:i w:val="false"/>
          <w:color w:val="000000"/>
          <w:sz w:val="21"/>
        </w:rPr>
        <w:t>[Filed 9/27/90, Notice 5/30/90—published 10/17/90, effective 11/21/90]</w:t>
      </w:r>
    </w:p>
    <w:p>
      <w:pPr>
        <w:spacing w:before="0" w:after="0"/>
        <w:ind w:left="120"/>
        <w:jc w:val="center"/>
      </w:pPr>
      <w:r>
        <w:rPr>
          <w:rFonts w:ascii="Times New Roman" w:hAnsi="Times New Roman"/>
          <w:b w:val="false"/>
          <w:i w:val="false"/>
          <w:color w:val="000000"/>
          <w:sz w:val="21"/>
        </w:rPr>
        <w:t>[Filed 9/27/90, Notice 7/25/90—published 10/17/90, effective 11/21/90]</w:t>
      </w:r>
    </w:p>
    <w:p>
      <w:pPr>
        <w:spacing w:before="0" w:after="0"/>
        <w:ind w:left="120"/>
        <w:jc w:val="center"/>
      </w:pPr>
      <w:r>
        <w:rPr>
          <w:rFonts w:ascii="Times New Roman" w:hAnsi="Times New Roman"/>
          <w:b w:val="false"/>
          <w:i w:val="false"/>
          <w:color w:val="000000"/>
          <w:sz w:val="21"/>
        </w:rPr>
        <w:t>[Filed 1/3/92, Notice 11/27/91—published 1/22/92, effective 2/26/92]</w:t>
      </w:r>
    </w:p>
    <w:p>
      <w:pPr>
        <w:spacing w:before="0" w:after="0"/>
        <w:ind w:left="120"/>
        <w:jc w:val="center"/>
      </w:pPr>
      <w:r>
        <w:rPr>
          <w:rFonts w:ascii="Times New Roman" w:hAnsi="Times New Roman"/>
          <w:b w:val="false"/>
          <w:i w:val="false"/>
          <w:color w:val="000000"/>
          <w:sz w:val="21"/>
        </w:rPr>
        <w:t>[Filed emergency 7/15/93—published 8/4/93, effective 7/15/93]</w:t>
      </w:r>
    </w:p>
    <w:p>
      <w:pPr>
        <w:spacing w:before="0" w:after="0"/>
        <w:ind w:left="120"/>
        <w:jc w:val="center"/>
      </w:pPr>
      <w:r>
        <w:rPr>
          <w:rFonts w:ascii="Times New Roman" w:hAnsi="Times New Roman"/>
          <w:b w:val="false"/>
          <w:i w:val="false"/>
          <w:color w:val="000000"/>
          <w:sz w:val="21"/>
        </w:rPr>
        <w:t>[Filed emergency 7/8/94—published 8/3/94, effective 7/8/94]</w:t>
      </w:r>
    </w:p>
    <w:p>
      <w:pPr>
        <w:spacing w:before="0" w:after="0"/>
        <w:ind w:left="120"/>
        <w:jc w:val="center"/>
      </w:pPr>
      <w:r>
        <w:rPr>
          <w:rFonts w:ascii="Times New Roman" w:hAnsi="Times New Roman"/>
          <w:b w:val="false"/>
          <w:i w:val="false"/>
          <w:color w:val="000000"/>
          <w:sz w:val="21"/>
        </w:rPr>
        <w:t>[Filed 3/31/95, Notice 11/9/94—published 4/26/95, effective 5/31/95]</w:t>
      </w:r>
    </w:p>
    <w:p>
      <w:pPr>
        <w:spacing w:before="0" w:after="0"/>
        <w:ind w:left="120"/>
        <w:jc w:val="center"/>
      </w:pPr>
      <w:r>
        <w:rPr>
          <w:rFonts w:ascii="Times New Roman" w:hAnsi="Times New Roman"/>
          <w:b w:val="false"/>
          <w:i w:val="false"/>
          <w:color w:val="000000"/>
          <w:sz w:val="21"/>
        </w:rPr>
        <w:t>[Filed emergency 7/24/97—published 8/13/97, effective 7/24/97]</w:t>
      </w:r>
    </w:p>
    <w:p>
      <w:pPr>
        <w:spacing w:before="0" w:after="0"/>
        <w:ind w:left="120"/>
        <w:jc w:val="center"/>
      </w:pPr>
      <w:r>
        <w:rPr>
          <w:rFonts w:ascii="Times New Roman" w:hAnsi="Times New Roman"/>
          <w:b w:val="false"/>
          <w:i w:val="false"/>
          <w:color w:val="000000"/>
          <w:sz w:val="21"/>
        </w:rPr>
        <w:t>[Filed 12/19/01, Notice 11/14/01—published 1/9/02, effective 2/13/02]</w:t>
      </w:r>
    </w:p>
    <w:p>
      <w:pPr>
        <w:spacing w:before="0" w:after="0"/>
        <w:ind w:left="120"/>
        <w:jc w:val="center"/>
      </w:pPr>
      <w:r>
        <w:rPr>
          <w:rFonts w:ascii="Times New Roman" w:hAnsi="Times New Roman"/>
          <w:b w:val="false"/>
          <w:i w:val="false"/>
          <w:color w:val="000000"/>
          <w:sz w:val="21"/>
        </w:rPr>
        <w:t>[Filed 7/2/04, Notice 5/26/04—published 7/21/04, effective 8/25/04]</w:t>
      </w:r>
    </w:p>
    <w:p>
      <w:pPr>
        <w:spacing w:before="0" w:after="0"/>
        <w:ind w:left="120"/>
        <w:jc w:val="center"/>
      </w:pPr>
      <w:r>
        <w:rPr>
          <w:rFonts w:ascii="Times New Roman" w:hAnsi="Times New Roman"/>
          <w:b w:val="false"/>
          <w:i w:val="false"/>
          <w:color w:val="000000"/>
          <w:sz w:val="21"/>
        </w:rPr>
        <w:t>[Filed ARC 8656B</w:t>
      </w:r>
      <w:r>
        <w:rPr>
          <w:rFonts w:ascii="Times New Roman" w:hAnsi="Times New Roman"/>
          <w:b w:val="false"/>
          <w:i w:val="false"/>
          <w:color w:val="000000"/>
          <w:sz w:val="21"/>
        </w:rPr>
        <w:t xml:space="preserve"> (Notice ARC 8484B, IAB 1/13/10)</w:t>
      </w:r>
      <w:r>
        <w:rPr>
          <w:rFonts w:ascii="Times New Roman" w:hAnsi="Times New Roman"/>
          <w:b w:val="false"/>
          <w:i w:val="false"/>
          <w:color w:val="000000"/>
          <w:sz w:val="21"/>
        </w:rPr>
        <w:t>, IAB 4/7/10, effective 5/12/10]</w:t>
      </w:r>
    </w:p>
    <w:p>
      <w:pPr>
        <w:spacing w:before="0" w:after="0"/>
        <w:ind w:left="120"/>
        <w:jc w:val="center"/>
      </w:pPr>
      <w:r>
        <w:rPr>
          <w:rFonts w:ascii="Times New Roman" w:hAnsi="Times New Roman"/>
          <w:b w:val="false"/>
          <w:i w:val="false"/>
          <w:color w:val="000000"/>
          <w:sz w:val="21"/>
        </w:rPr>
        <w:t>[Filed ARC 3523C</w:t>
      </w:r>
      <w:r>
        <w:rPr>
          <w:rFonts w:ascii="Times New Roman" w:hAnsi="Times New Roman"/>
          <w:b w:val="false"/>
          <w:i w:val="false"/>
          <w:color w:val="000000"/>
          <w:sz w:val="21"/>
        </w:rPr>
        <w:t xml:space="preserve"> (Notice ARC 3407C, IAB 10/25/17)</w:t>
      </w:r>
      <w:r>
        <w:rPr>
          <w:rFonts w:ascii="Times New Roman" w:hAnsi="Times New Roman"/>
          <w:b w:val="false"/>
          <w:i w:val="false"/>
          <w:color w:val="000000"/>
          <w:sz w:val="21"/>
        </w:rPr>
        <w:t>, IAB 12/20/17, effective 1/24/18]</w:t>
      </w:r>
    </w:p>
    <w:p>
      <w:pPr>
        <w:spacing w:before="0" w:after="0"/>
        <w:ind w:left="120"/>
        <w:jc w:val="center"/>
      </w:pPr>
      <w:r>
        <w:rPr>
          <w:rFonts w:ascii="Times New Roman" w:hAnsi="Times New Roman"/>
          <w:b w:val="false"/>
          <w:i w:val="false"/>
          <w:color w:val="000000"/>
          <w:sz w:val="21"/>
        </w:rPr>
        <w:t>[Filed ARC 6518C</w:t>
      </w:r>
      <w:r>
        <w:rPr>
          <w:rFonts w:ascii="Times New Roman" w:hAnsi="Times New Roman"/>
          <w:b w:val="false"/>
          <w:i w:val="false"/>
          <w:color w:val="000000"/>
          <w:sz w:val="21"/>
        </w:rPr>
        <w:t xml:space="preserve"> (Notice ARC 6412C, IAB 7/13/22)</w:t>
      </w:r>
      <w:r>
        <w:rPr>
          <w:rFonts w:ascii="Times New Roman" w:hAnsi="Times New Roman"/>
          <w:b w:val="false"/>
          <w:i w:val="false"/>
          <w:color w:val="000000"/>
          <w:sz w:val="21"/>
        </w:rPr>
        <w:t>, IAB 9/7/22, effective 10/12/22]</w:t>
      </w:r>
    </w:p>
    <w:p>
      <w:pPr>
        <w:spacing w:before="0" w:after="0"/>
        <w:ind w:left="120"/>
        <w:jc w:val="center"/>
      </w:pPr>
      <w:r>
        <w:rPr>
          <w:rFonts w:ascii="Times New Roman" w:hAnsi="Times New Roman"/>
          <w:b w:val="false"/>
          <w:i w:val="false"/>
          <w:color w:val="000000"/>
          <w:sz w:val="21"/>
        </w:rPr>
        <w:t>[Filed ARC 0013D</w:t>
      </w:r>
      <w:r>
        <w:rPr>
          <w:rFonts w:ascii="Times New Roman" w:hAnsi="Times New Roman"/>
          <w:b w:val="false"/>
          <w:i w:val="false"/>
          <w:color w:val="000000"/>
          <w:sz w:val="21"/>
        </w:rPr>
        <w:t xml:space="preserve"> (Notice ARC 9753C, IAB 11/26/25)</w:t>
      </w:r>
      <w:r>
        <w:rPr>
          <w:rFonts w:ascii="Times New Roman" w:hAnsi="Times New Roman"/>
          <w:b w:val="false"/>
          <w:i w:val="false"/>
          <w:color w:val="000000"/>
          <w:sz w:val="21"/>
        </w:rPr>
        <w:t>, IAB 1/21/26, effective 2/25/26]</w:t>
      </w:r>
    </w:p>
    <w:p>
      <w:pPr>
        <w:spacing w:before="0" w:after="0"/>
        <w:ind w:left="120"/>
        <w:jc w:val="center"/>
      </w:pPr>
      <w:r>
        <w:rPr>
          <w:rFonts w:ascii="Times New Roman" w:hAnsi="Times New Roman"/>
          <w:b w:val="false"/>
          <w:i w:val="false"/>
          <w:color w:val="000000"/>
          <w:sz w:val="21"/>
        </w:rPr>
        <w:t>[Editorial change: IAC Supplement 8/5/26]</w:t>
      </w:r>
    </w:p>
    <w:sectPr>
      <w:footerReference r:id="rId26"/>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441.11.pdf" Type="http://schemas.openxmlformats.org/officeDocument/2006/relationships/hyperlink" Id="rId5"/>
    <Relationship TargetMode="External" Target="https://www.legis.iowa.gov/docs/iac/chapter/441.40.pdf" Type="http://schemas.openxmlformats.org/officeDocument/2006/relationships/hyperlink" Id="rId6"/>
    <Relationship TargetMode="External" Target="https://www.legis.iowa.gov/docs/iac/chapter/441.41.pdf" Type="http://schemas.openxmlformats.org/officeDocument/2006/relationships/hyperlink" Id="rId7"/>
    <Relationship TargetMode="External" Target="https://www.legis.iowa.gov/docs/iac/chapter/441.45.pdf" Type="http://schemas.openxmlformats.org/officeDocument/2006/relationships/hyperlink" Id="rId8"/>
    <Relationship TargetMode="External" Target="https://www.legis.iowa.gov/docs/iac/chapter/441.46.pdf" Type="http://schemas.openxmlformats.org/officeDocument/2006/relationships/hyperlink" Id="rId9"/>
    <Relationship TargetMode="External" Target="https://www.legis.iowa.gov/docs/iac/chapter/441.11.pdf" Type="http://schemas.openxmlformats.org/officeDocument/2006/relationships/hyperlink" Id="rId10"/>
    <Relationship TargetMode="External" Target="https://www.legis.iowa.gov/docs/iac/chapter/441.60.pdf" Type="http://schemas.openxmlformats.org/officeDocument/2006/relationships/hyperlink" Id="rId11"/>
    <Relationship TargetMode="External" Target="https://www.legis.iowa.gov/docs/iac/rule/441.11.1.pdf" Type="http://schemas.openxmlformats.org/officeDocument/2006/relationships/hyperlink" Id="rId12"/>
    <Relationship TargetMode="External" Target="https://www.legis.iowa.gov/docs/ico/chapter/421.65.pdf" Type="http://schemas.openxmlformats.org/officeDocument/2006/relationships/hyperlink" Id="rId13"/>
    <Relationship TargetMode="External" Target="https://www.legis.iowa.gov/docs/iac/chapter/701.26.pdf" Type="http://schemas.openxmlformats.org/officeDocument/2006/relationships/hyperlink" Id="rId14"/>
    <Relationship TargetMode="External" Target="https://www.legis.iowa.gov/docs/iac/rule/441.65.1.pdf" Type="http://schemas.openxmlformats.org/officeDocument/2006/relationships/hyperlink" Id="rId15"/>
    <Relationship TargetMode="External" Target="https://www.legis.iowa.gov/docs/iac/rule/441.11.2.pdf" Type="http://schemas.openxmlformats.org/officeDocument/2006/relationships/hyperlink" Id="rId16"/>
    <Relationship TargetMode="External" Target="https://www.legis.iowa.gov/docs/iac/rule/481.11.2.pdf" Type="http://schemas.openxmlformats.org/officeDocument/2006/relationships/hyperlink" Id="rId17"/>
    <Relationship TargetMode="External" Target="https://www.legis.iowa.gov/docs/iac/rule/481.90.4.pdf" Type="http://schemas.openxmlformats.org/officeDocument/2006/relationships/hyperlink" Id="rId18"/>
    <Relationship TargetMode="External" Target="https://www.legis.iowa.gov/docs/iac/chapter/441.11.pdf" Type="http://schemas.openxmlformats.org/officeDocument/2006/relationships/hyperlink" Id="rId19"/>
    <Relationship TargetMode="External" Target="https://www.legis.iowa.gov/docs/ico/chapter/421.65.pdf" Type="http://schemas.openxmlformats.org/officeDocument/2006/relationships/hyperlink" Id="rId20"/>
    <Relationship TargetMode="External" Target="https://www.legis.iowa.gov/docs/iac/rule/441.11.5.pdf" Type="http://schemas.openxmlformats.org/officeDocument/2006/relationships/hyperlink" Id="rId21"/>
    <Relationship TargetMode="External" Target="https://www.legis.iowa.gov/docs/iac/chapter/7.2506.pdf" Type="http://schemas.openxmlformats.org/officeDocument/2006/relationships/hyperlink" Id="rId22"/>
    <Relationship TargetMode="External" Target="https://www.legis.iowa.gov/docs/iac/chapter/441.7.pdf" Type="http://schemas.openxmlformats.org/officeDocument/2006/relationships/hyperlink" Id="rId23"/>
    <Relationship TargetMode="External" Target="https://www.legis.iowa.gov/docs/iac/chapter/441.9.pdf" Type="http://schemas.openxmlformats.org/officeDocument/2006/relationships/hyperlink" Id="rId24"/>
    <Relationship TargetMode="External" Target="https://www.legis.iowa.gov/docs/ico/chapter/10A.402.pdf" Type="http://schemas.openxmlformats.org/officeDocument/2006/relationships/hyperlink" Id="rId25"/>
    <Relationship Target="footer.xml" Type="http://schemas.openxmlformats.org/officeDocument/2006/relationships/footer" Id="rId2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