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884</w:t>
      </w:r>
    </w:p>
    <w:p>
      <w:pPr>
        <w:spacing w:before="0" w:after="0"/>
        <w:ind w:left="120"/>
        <w:jc w:val="center"/>
      </w:pPr>
      <w:r>
        <w:rPr>
          <w:rFonts w:ascii="Times New Roman" w:hAnsi="Times New Roman"/>
          <w:b w:val="false"/>
          <w:i w:val="false"/>
          <w:color w:val="000000"/>
          <w:sz w:val="21"/>
        </w:rPr>
        <w:t xml:space="preserve">PRACTICE OF SOCIAL WORKERS, PSYCHOLOGISTS, MARRIAGE </w:t>
      </w:r>
      <w:r>
        <w:br/>
      </w:r>
      <w:r>
        <w:rPr>
          <w:rFonts w:ascii="Times New Roman" w:hAnsi="Times New Roman"/>
          <w:b w:val="false"/>
          <w:i w:val="false"/>
          <w:color w:val="000000"/>
          <w:sz w:val="21"/>
        </w:rPr>
        <w:t>AND FAMILY THERAPISTS, AND MENTAL HEALTH COUNSELORS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481—884.1</w:t>
      </w:r>
      <w:r>
        <w:rPr>
          <w:rFonts w:ascii="Times New Roman" w:hAnsi="Times New Roman"/>
          <w:b/>
          <w:i w:val="false"/>
          <w:color w:val="000000"/>
          <w:sz w:val="22"/>
        </w:rPr>
        <w:t xml:space="preserve">(154B,154C)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“APA” </w:t>
      </w:r>
      <w:r>
        <w:rPr>
          <w:rFonts w:ascii="Times New Roman" w:hAnsi="Times New Roman"/>
          <w:b w:val="false"/>
          <w:i w:val="false"/>
          <w:color w:val="000000"/>
          <w:sz w:val="22"/>
        </w:rPr>
        <w:t>means the American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the individual, couple, family, or group to whom a licensee provides direct social work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records” </w:t>
      </w:r>
      <w:r>
        <w:rPr>
          <w:rFonts w:ascii="Times New Roman" w:hAnsi="Times New Roman"/>
          <w:b w:val="false"/>
          <w:i w:val="false"/>
          <w:color w:val="000000"/>
          <w:sz w:val="22"/>
        </w:rPr>
        <w:t>means records created by a licensee regarding the observation and treatment of patients, such as progress notes, but does not include psychotherapy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services” </w:t>
      </w:r>
      <w:r>
        <w:rPr>
          <w:rFonts w:ascii="Times New Roman" w:hAnsi="Times New Roman"/>
          <w:b w:val="false"/>
          <w:i w:val="false"/>
          <w:color w:val="000000"/>
          <w:sz w:val="22"/>
        </w:rPr>
        <w:t>means services provided by a licensed master social worker (LMSW) or licensed independent social worker (LISW) that involve the professional application of social work theory and methods in diagnosing, assessing, treating, and preventing psychosocial disabilities or impairments, including emotional and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“Counseling” </w:t>
      </w:r>
      <w:r>
        <w:rPr>
          <w:rFonts w:ascii="Times New Roman" w:hAnsi="Times New Roman"/>
          <w:b w:val="false"/>
          <w:i w:val="false"/>
          <w:color w:val="000000"/>
          <w:sz w:val="22"/>
        </w:rPr>
        <w:t>means a method used by licensees to assist clients in learning how to solve problems and make decisions about personal, health, social, educational, vocational, financial, and other interpersonal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“Examinee” </w:t>
      </w:r>
      <w:r>
        <w:rPr>
          <w:rFonts w:ascii="Times New Roman" w:hAnsi="Times New Roman"/>
          <w:b w:val="false"/>
          <w:i w:val="false"/>
          <w:color w:val="000000"/>
          <w:sz w:val="22"/>
        </w:rPr>
        <w:t>means a person who is the subject of a forensic examination for the purpose of informing a decision maker or attorney about the psychological functioning of that examinee.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“HIPAA” </w:t>
      </w:r>
      <w:r>
        <w:rPr>
          <w:rFonts w:ascii="Times New Roman" w:hAnsi="Times New Roman"/>
          <w:b w:val="false"/>
          <w:i w:val="false"/>
          <w:color w:val="000000"/>
          <w:sz w:val="22"/>
        </w:rPr>
        <w:t>means the Health Insurance Portability and Accountability Act of 1996 and related regulations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 individual under the care of a licensee in a clinical role and is synonymous with the term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representative” </w:t>
      </w:r>
      <w:r>
        <w:rPr>
          <w:rFonts w:ascii="Times New Roman" w:hAnsi="Times New Roman"/>
          <w:b w:val="false"/>
          <w:i w:val="false"/>
          <w:color w:val="000000"/>
          <w:sz w:val="22"/>
        </w:rPr>
        <w:t>means a person authorized to act on behalf of the patient in making health care-related decisions, such as a parent or legal guardian, an individual with a health care power of attorney, an individual with a general power of attorney or durable power of attorney that includes the power to make health care decisions, or a court-appointed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“Psychosocial therapy” </w:t>
      </w:r>
      <w:r>
        <w:rPr>
          <w:rFonts w:ascii="Times New Roman" w:hAnsi="Times New Roman"/>
          <w:b w:val="false"/>
          <w:i w:val="false"/>
          <w:color w:val="000000"/>
          <w:sz w:val="22"/>
        </w:rPr>
        <w:t>means a specialized, formal interaction between an LMSW or LISW and a client in which a therapeutic relationship is established and maintained to assist the client in overcoming or abating specific emotional, mental, or social problems and achieving specified goals for well-being. Psychosocial therapy is a form of psychotherapy that emphasizes the interface between the client and the client’s environment. Therapy is a planned, structured program based on a diagnosis and is directed to accomplish measurable goals and objectives specified in the client’s 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“Psychotherapy notes” </w:t>
      </w:r>
      <w:r>
        <w:rPr>
          <w:rFonts w:ascii="Times New Roman" w:hAnsi="Times New Roman"/>
          <w:b w:val="false"/>
          <w:i w:val="false"/>
          <w:color w:val="000000"/>
          <w:sz w:val="22"/>
        </w:rPr>
        <w:t>means notes recorded by a licensee documenting or analyzing the contents of a conversation during a private therapy session with a patient, or a group, joint, or family therapy session, that are maintained separately from the patient’s clinical records. “Psychotherapy notes” excludes medication prescription monitoring, counseling session start and stop times, the modalities and frequencies of treatment furnished, results of any clinical tests, and any summary of the following items: diagnosis, functional status, treatment plan, symptoms, prognosis, and progress to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“Telepsychology” </w:t>
      </w:r>
      <w:r>
        <w:rPr>
          <w:rFonts w:ascii="Times New Roman" w:hAnsi="Times New Roman"/>
          <w:b w:val="false"/>
          <w:i w:val="false"/>
          <w:color w:val="000000"/>
          <w:sz w:val="22"/>
        </w:rPr>
        <w:t>means the provision of psychological services using telecommunication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data” </w:t>
      </w:r>
      <w:r>
        <w:rPr>
          <w:rFonts w:ascii="Times New Roman" w:hAnsi="Times New Roman"/>
          <w:b w:val="false"/>
          <w:i w:val="false"/>
          <w:color w:val="000000"/>
          <w:sz w:val="22"/>
        </w:rPr>
        <w:t>means raw and scaled scores, patient responses to test questions or stimuli, and notes and recordings concerning patient statements and behavior during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materials” </w:t>
      </w:r>
      <w:r>
        <w:rPr>
          <w:rFonts w:ascii="Times New Roman" w:hAnsi="Times New Roman"/>
          <w:b w:val="false"/>
          <w:i w:val="false"/>
          <w:color w:val="000000"/>
          <w:sz w:val="22"/>
        </w:rPr>
        <w:t>means the test questions, scoring keys, protocols, and manuals that do not include personally identifying information about the subject of the test.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9410C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481—884.2</w:t>
      </w:r>
      <w:r>
        <w:rPr>
          <w:rFonts w:ascii="Times New Roman" w:hAnsi="Times New Roman"/>
          <w:b/>
          <w:i w:val="false"/>
          <w:color w:val="000000"/>
          <w:sz w:val="22"/>
        </w:rPr>
        <w:t xml:space="preserve">(147,154B,272C)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 purpose of this rule is to set the minimum standards of practice for psychologists practicing in Iowa. The practice of psychology is occurring in Iowa if the patient or examinee is located in Iowa. Psychologists will ensure any interns or residents under supervision adhere to the minimum standards of practice and must comply with the requirements set forth in </w:t>
      </w:r>
      <w:hyperlink r:id="rId5">
        <w:r>
          <w:rPr>
            <w:rStyle w:val="Hyperlink"/>
            <w:rFonts w:ascii="Times New Roman" w:hAnsi="Times New Roman"/>
            <w:b w:val="false"/>
            <w:i w:val="false"/>
            <w:color w:val="000000"/>
            <w:sz w:val="22"/>
          </w:rPr>
          <w:t>481—subrule 880.2(6)</w:t>
        </w:r>
      </w:hyperlink>
      <w:r>
        <w:rPr>
          <w:rFonts w:ascii="Times New Roman" w:hAnsi="Times New Roman"/>
          <w:b w:val="false"/>
          <w:i w:val="false"/>
          <w:color w:val="000000"/>
          <w:sz w:val="22"/>
        </w:rPr>
        <w:t>. The APA Code of Ethics, published January 1, 2017, is applicable and enforceable to the extent it does not conflict with any standards of practice set forth in this chapter. A psychologist may be disciplined for any violation of this chapter or the APA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884.2(1)</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generally. </w:t>
      </w:r>
      <w:r>
        <w:rPr>
          <w:rFonts w:ascii="Times New Roman" w:hAnsi="Times New Roman"/>
          <w:b w:val="false"/>
          <w:i w:val="false"/>
          <w:color w:val="000000"/>
          <w:sz w:val="22"/>
        </w:rPr>
        <w:t xml:space="preserve">When records are requested along with a signed release from the patient or the patient’s personal representative, a psychologist will provide requested clinical records in a timely manner unless there is a ground for denial under HIPAA (Health Insurance Portability and Accountability Act of 1996, </w:t>
      </w:r>
      <w:r>
        <w:rPr>
          <w:rFonts w:ascii="Times New Roman" w:hAnsi="Times New Roman"/>
          <w:b w:val="false"/>
          <w:i w:val="false"/>
          <w:color w:val="000000"/>
          <w:sz w:val="22"/>
        </w:rPr>
        <w:t>PL No. 104-191</w:t>
      </w:r>
      <w:r>
        <w:rPr>
          <w:rFonts w:ascii="Times New Roman" w:hAnsi="Times New Roman"/>
          <w:b w:val="false"/>
          <w:i w:val="false"/>
          <w:color w:val="000000"/>
          <w:sz w:val="22"/>
        </w:rPr>
        <w:t>,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Psychotherapy notes. </w:t>
      </w:r>
      <w:r>
        <w:rPr>
          <w:rFonts w:ascii="Times New Roman" w:hAnsi="Times New Roman"/>
          <w:b w:val="false"/>
          <w:i w:val="false"/>
          <w:color w:val="000000"/>
          <w:sz w:val="22"/>
        </w:rPr>
        <w:t>A psychologist is not required to release psychotherapy notes in response to a signed release; if a psychologist chooses to release psychotherapy notes, a signed release specifically authorizing the release of those notes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Substance use disorder treatment programs. </w:t>
      </w:r>
      <w:r>
        <w:rPr>
          <w:rFonts w:ascii="Times New Roman" w:hAnsi="Times New Roman"/>
          <w:b w:val="false"/>
          <w:i w:val="false"/>
          <w:color w:val="000000"/>
          <w:sz w:val="22"/>
        </w:rPr>
        <w:t>Psychologists who practice in a federally assisted substance use disorder treatment program, also known as a Part 2 program, are prohibited from disclosing any information that would identify a patient as having a substance use disorder unless the patient provides written consent in compliance with Part 2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of minor patients. </w:t>
      </w:r>
      <w:r>
        <w:rPr>
          <w:rFonts w:ascii="Times New Roman" w:hAnsi="Times New Roman"/>
          <w:b w:val="false"/>
          <w:i w:val="false"/>
          <w:color w:val="000000"/>
          <w:sz w:val="22"/>
        </w:rPr>
        <w:t>A minor patient is a patient who is under the age of 18 and is not emancipated. A psychologist is not required to release the clinical records of a minor patient to the minor’s personal representative if releasing such records is not in the minor’s best interest. When a minor patient reaches the age of 18, the clinical records belong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of deceased patients. </w:t>
      </w:r>
      <w:r>
        <w:rPr>
          <w:rFonts w:ascii="Times New Roman" w:hAnsi="Times New Roman"/>
          <w:b w:val="false"/>
          <w:i w:val="false"/>
          <w:color w:val="000000"/>
          <w:sz w:val="22"/>
        </w:rPr>
        <w:t>A psychologist will provide the clinical records of a deceased patient to the deceased patient’s executor upon a written request accompanied by a copy of the patient’s death certificate and a copy of the legal document identifying the requestor as the patient’s executor.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Forensic records. </w:t>
      </w:r>
      <w:r>
        <w:rPr>
          <w:rFonts w:ascii="Times New Roman" w:hAnsi="Times New Roman"/>
          <w:b w:val="false"/>
          <w:i w:val="false"/>
          <w:color w:val="000000"/>
          <w:sz w:val="22"/>
        </w:rPr>
        <w:t>A psychologist will provide forensic records consistent with the APA Specialty Guidelines for Forensic Psychology published January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A psychologist shall provide clinical records, test data, or forensic records to the board as requested during the investigation of a complaint. A psychologist is not required to obtain a patient release to send such information to the board because the board is a health oversight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These rules do not apply when there is a legal basis for not disclosing requested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884.2(2)</w:t>
      </w:r>
      <w:r>
        <w:rPr>
          <w:rFonts w:ascii="Times New Roman" w:hAnsi="Times New Roman"/>
          <w:b w:val="false"/>
          <w:i w:val="false"/>
          <w:color w:val="000000"/>
          <w:sz w:val="22"/>
        </w:rPr>
        <w:t> </w:t>
      </w:r>
      <w:r>
        <w:rPr>
          <w:rFonts w:ascii="Times New Roman" w:hAnsi="Times New Roman"/>
          <w:b w:val="false"/>
          <w:i/>
          <w:color w:val="000000"/>
          <w:sz w:val="22"/>
        </w:rPr>
        <w:t xml:space="preserve">Psychological testing. </w:t>
      </w:r>
      <w:r>
        <w:rPr>
          <w:rFonts w:ascii="Times New Roman" w:hAnsi="Times New Roman"/>
          <w:b w:val="false"/>
          <w:i w:val="false"/>
          <w:color w:val="000000"/>
          <w:sz w:val="22"/>
        </w:rPr>
        <w:t>A psychologist may administer psychological tests and assessments to a patient or examinee if the psychologist has appropriate training for any psychological test or assessment utilized and the test or assessment is scientifically founded.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proctors. </w:t>
      </w:r>
      <w:r>
        <w:rPr>
          <w:rFonts w:ascii="Times New Roman" w:hAnsi="Times New Roman"/>
          <w:b w:val="false"/>
          <w:i w:val="false"/>
          <w:color w:val="000000"/>
          <w:sz w:val="22"/>
        </w:rPr>
        <w:t>A psychologist may delegate the administration of a standardized test, intelligence test, or objective personality assessment to an appropriately trained individual. The psychologist is responsible for supervising any proctors.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Release of test data. </w:t>
      </w:r>
      <w:r>
        <w:rPr>
          <w:rFonts w:ascii="Times New Roman" w:hAnsi="Times New Roman"/>
          <w:b w:val="false"/>
          <w:i w:val="false"/>
          <w:color w:val="000000"/>
          <w:sz w:val="22"/>
        </w:rPr>
        <w:t>A psychologist will not provide test data to any person, with the exception that the test data with proper written release may be disclosed to a licensed psychologist designated by the patient or examinee. A psychologist who receives test data in this manner shall not further disseminate the test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Release of test materials. </w:t>
      </w:r>
      <w:r>
        <w:rPr>
          <w:rFonts w:ascii="Times New Roman" w:hAnsi="Times New Roman"/>
          <w:b w:val="false"/>
          <w:i w:val="false"/>
          <w:color w:val="000000"/>
          <w:sz w:val="22"/>
        </w:rPr>
        <w:t>A psychologist shall not disclose test materials to any person, except for another licensed psychologist who has been designated in writing by the subject of a psychological test to receive the records associated with the psychological testing of the subject. A psychologist shall not disclose test materials in any administrative, judicial, or legislative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884.2(3)</w:t>
      </w:r>
      <w:r>
        <w:rPr>
          <w:rFonts w:ascii="Times New Roman" w:hAnsi="Times New Roman"/>
          <w:b w:val="false"/>
          <w:i w:val="false"/>
          <w:color w:val="000000"/>
          <w:sz w:val="22"/>
        </w:rPr>
        <w:t> </w:t>
      </w:r>
      <w:r>
        <w:rPr>
          <w:rFonts w:ascii="Times New Roman" w:hAnsi="Times New Roman"/>
          <w:b w:val="false"/>
          <w:i/>
          <w:color w:val="000000"/>
          <w:sz w:val="22"/>
        </w:rPr>
        <w:t xml:space="preserve">Judicial proceedings. </w:t>
      </w:r>
      <w:r>
        <w:rPr>
          <w:rFonts w:ascii="Times New Roman" w:hAnsi="Times New Roman"/>
          <w:b w:val="false"/>
          <w:i w:val="false"/>
          <w:color w:val="000000"/>
          <w:sz w:val="22"/>
        </w:rPr>
        <w:t>Prior to participating in a judicial proceeding, a psychologist will become familiar with the rules governing the proceeding. A psychologist will understand and clearly identify the psychologist’s role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A license to practice psychology in Iowa or an exemption from licensure is not required solely to testify as an expert witness in court, if the psychologist did not personally examine the examinee. A psychologist who personally examines an examinee located in Iowa for the purpose of providing an expert opinion is required to be licensed or exempt from licensure at the time of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Custody evaluations. </w:t>
      </w:r>
      <w:r>
        <w:rPr>
          <w:rFonts w:ascii="Times New Roman" w:hAnsi="Times New Roman"/>
          <w:b w:val="false"/>
          <w:i w:val="false"/>
          <w:color w:val="000000"/>
          <w:sz w:val="22"/>
        </w:rPr>
        <w:t>A psychologist who performs a child custody evaluation will comply with the APA Guidelines for Child Custody Evaluations in Family Law Proceedings published December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884.2(4)</w:t>
      </w:r>
      <w:r>
        <w:rPr>
          <w:rFonts w:ascii="Times New Roman" w:hAnsi="Times New Roman"/>
          <w:b w:val="false"/>
          <w:i w:val="false"/>
          <w:color w:val="000000"/>
          <w:sz w:val="22"/>
        </w:rPr>
        <w:t> </w:t>
      </w:r>
      <w:r>
        <w:rPr>
          <w:rFonts w:ascii="Times New Roman" w:hAnsi="Times New Roman"/>
          <w:b w:val="false"/>
          <w:i/>
          <w:color w:val="000000"/>
          <w:sz w:val="22"/>
        </w:rPr>
        <w:t xml:space="preserve">Telepsychology. </w:t>
      </w:r>
      <w:r>
        <w:rPr>
          <w:rFonts w:ascii="Times New Roman" w:hAnsi="Times New Roman"/>
          <w:b w:val="false"/>
          <w:i w:val="false"/>
          <w:color w:val="000000"/>
          <w:sz w:val="22"/>
        </w:rPr>
        <w:t>A psychologist may practice telepsychology provided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psychologist must be licensed or be exempt from licensure in the jurisdiction where the patient or examinee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initiating telepsychology with a new patient or examinee, a psychologist will take reasonable steps to verify the identity and location of the patient or examinee.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psychologist will ensure informed consent for telepsychology includes a description of any limitations of services as a result of the technology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psychologist will gain competency in the use of a particular technology prior to utilizing it in practice. A psychologist shall only use technologies that are secure and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psychologist will apply the same ethical and professional standards of care and professional practice that are required when providing in-person psychological services. If the same standard of care cannot be met with telepsychology, a psychologist will not utilize telepsychology.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884.2(5)</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 psychologist will complete clinical records as soon as practicable to ensure continuity of services. All clinical records shall be completed within 30 days after the service or evaluation is complete unless there are significant extenuating circumstances. Clinical records and psychotherapy notes will be retained for at least seven years after the last date of service, or until at least three years after a minor reaches the age of 18, whichever is later. Forensic records will be completed and retained consistent with the APA Specialty Guidelines for Forensic Psychology published January 2011.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9410C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481—884.3</w:t>
      </w:r>
      <w:r>
        <w:rPr>
          <w:rFonts w:ascii="Times New Roman" w:hAnsi="Times New Roman"/>
          <w:b/>
          <w:i w:val="false"/>
          <w:color w:val="000000"/>
          <w:sz w:val="22"/>
        </w:rPr>
        <w:t xml:space="preserve">(147) </w:t>
      </w:r>
      <w:r>
        <w:rPr>
          <w:rFonts w:ascii="Times New Roman" w:hAnsi="Times New Roman"/>
          <w:b/>
          <w:i w:val="false"/>
          <w:color w:val="000000"/>
          <w:sz w:val="22"/>
        </w:rPr>
        <w:t xml:space="preserve">Mental health counselor and marriage and family therapist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884.3(1)</w:t>
      </w:r>
      <w:r>
        <w:rPr>
          <w:rFonts w:ascii="Times New Roman" w:hAnsi="Times New Roman"/>
          <w:b w:val="false"/>
          <w:i w:val="false"/>
          <w:color w:val="000000"/>
          <w:sz w:val="22"/>
        </w:rPr>
        <w:t> </w:t>
      </w:r>
      <w:r>
        <w:rPr>
          <w:rFonts w:ascii="Times New Roman" w:hAnsi="Times New Roman"/>
          <w:b w:val="false"/>
          <w:i w:val="false"/>
          <w:color w:val="000000"/>
          <w:sz w:val="22"/>
        </w:rPr>
        <w:t>A mental health counselor or marriage and family therapist shall maintain sufficient, timely, and accurate documentation in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“client” means the individual, couple, family, or group to whom a mental health counselor or marriage and family therapist provides direct clinical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884.3(3)</w:t>
      </w:r>
      <w:r>
        <w:rPr>
          <w:rFonts w:ascii="Times New Roman" w:hAnsi="Times New Roman"/>
          <w:b w:val="false"/>
          <w:i w:val="false"/>
          <w:color w:val="000000"/>
          <w:sz w:val="22"/>
        </w:rPr>
        <w:t> </w:t>
      </w:r>
      <w:r>
        <w:rPr>
          <w:rFonts w:ascii="Times New Roman" w:hAnsi="Times New Roman"/>
          <w:b w:val="false"/>
          <w:i w:val="false"/>
          <w:color w:val="000000"/>
          <w:sz w:val="22"/>
        </w:rPr>
        <w:t>A mental health counselor’s or marriage and family therapist’s records shall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884.3(4)</w:t>
      </w:r>
      <w:r>
        <w:rPr>
          <w:rFonts w:ascii="Times New Roman" w:hAnsi="Times New Roman"/>
          <w:b w:val="false"/>
          <w:i w:val="false"/>
          <w:color w:val="000000"/>
          <w:sz w:val="22"/>
        </w:rPr>
        <w:t> </w:t>
      </w:r>
      <w:r>
        <w:rPr>
          <w:rFonts w:ascii="Times New Roman" w:hAnsi="Times New Roman"/>
          <w:b w:val="false"/>
          <w:i w:val="false"/>
          <w:color w:val="000000"/>
          <w:sz w:val="22"/>
        </w:rPr>
        <w:t>Clinical services. A mental health counselor or marriage and family therapist who provides clinical services in any employment setting, including private practice,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Store records in accordance with state and federal statutes and regulations governing record retention and with the guidelines of the mental health counselor’s or marriage and family therapist’s employer or agency, if applicable. If no other legal provisions govern record retention, a mental health counselor or marriage and family therapist shall store all client records for a minimum of seven years after the date of the client’s discharge or death or, in the case of a minor, for three years after the client reaches the age of majority under state law or seven years after the date of the client’s discharge or death,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timely records that include subjective and objective data, an assessment, a treatment plan, and any revisions to the assessment or plan made during the course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client with reasonable access to records concerning the client. A mental health counselor or marriage and family therapist who is concerned that a client’s access to the client’s records could cause serious misunderstanding or harm to the client shall provide assistance in interpreting the records and consultation with the client regarding the records. A mental health counselor or marriage and family therapist may limit a client’s access to the client’s records, or portions of the records, only in exceptional circumstances when there is compelling evidence that such access would cause serious harm to the client. Both the client’s request for access and the licensee’s rationale for withholding some or all of a record shall be documented in the client’s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steps to protect the confidentiality of other individuals identified or discussed in any records to which a client is provided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884.3(5)</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the mental health counselor or marriage and family therapist shall ensure that a duplicate hard-copy record or a backup, unalterable electronic record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884.3(6)</w:t>
      </w:r>
      <w:r>
        <w:rPr>
          <w:rFonts w:ascii="Times New Roman" w:hAnsi="Times New Roman"/>
          <w:b w:val="false"/>
          <w:i w:val="false"/>
          <w:color w:val="000000"/>
          <w:sz w:val="22"/>
        </w:rPr>
        <w:t> </w:t>
      </w:r>
      <w:r>
        <w:rPr>
          <w:rFonts w:ascii="Times New Roman" w:hAnsi="Times New Roman"/>
          <w:b w:val="false"/>
          <w:i w:val="false"/>
          <w:color w:val="000000"/>
          <w:sz w:val="22"/>
        </w:rPr>
        <w:t>Correction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Hard-copy records. Original notations shall be legible, be written in ink, and contain no erasures or whiteouts. If incorrect information is placed in the original record, it must be crossed out with a single, nondeleting line and be initialed and dated by the mental health counselor or marriage and family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records. If a record is stored in an electronic format, the record may be amended with a signed addendum attached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884.3(7)</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Marital and family therapists or mental health counselors shall preserve the confidentiality of client records in accordance with their respective rules of conduct and with federal and state law. Upon receipt of a written release or authorization signed by the client, the licensee shall furnish such therapy records, or copies of the records, as will be beneficial for the future treatment of that client. A fee may be charged for duplication of records, but a mental health counselor or marriage and family therapist shall not refuse to transfer records for nonpayment of any fees. A written request may be required before transferring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884.3(8)</w:t>
      </w:r>
      <w:r>
        <w:rPr>
          <w:rFonts w:ascii="Times New Roman" w:hAnsi="Times New Roman"/>
          <w:b w:val="false"/>
          <w:i w:val="false"/>
          <w:color w:val="000000"/>
          <w:sz w:val="22"/>
        </w:rPr>
        <w:t> </w:t>
      </w:r>
      <w:r>
        <w:rPr>
          <w:rFonts w:ascii="Times New Roman" w:hAnsi="Times New Roman"/>
          <w:b w:val="false"/>
          <w:i w:val="false"/>
          <w:color w:val="000000"/>
          <w:sz w:val="22"/>
        </w:rPr>
        <w:t>Retirement, death or discontinuance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mental health counselor or marriage and family therapist is retiring or discontinuing practice and is the owner of a practice, the mental health counselor or marriage and family therapist shall notify in writing all active clients and, upon knowledge and agreement of the clients, shall make reasonable arrangements with those clients to transfer client records, or copies of those records, to the succeeding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a mental health counselor’s or marriage and family therapist’s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mental health counselor’s or marriage and family therapist’s employer or representative must ensure that all client records are transferred to another licensee or entity that is held to the same standards of confidentiality and agrees to act as custodian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mental health counselor’s or marriage and family therapist’s employer or representative shall notify each active client that the client’s records will be transferred to another licensee or entity that will retain custody of the records and that, at the client’s written request, the records will be sent to the licensee or entity of the client’s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884.3(9)</w:t>
      </w:r>
      <w:r>
        <w:rPr>
          <w:rFonts w:ascii="Times New Roman" w:hAnsi="Times New Roman"/>
          <w:b w:val="false"/>
          <w:i w:val="false"/>
          <w:color w:val="000000"/>
          <w:sz w:val="22"/>
        </w:rPr>
        <w:t> </w:t>
      </w:r>
      <w:r>
        <w:rPr>
          <w:rFonts w:ascii="Times New Roman" w:hAnsi="Times New Roman"/>
          <w:b w:val="false"/>
          <w:i w:val="false"/>
          <w:color w:val="000000"/>
          <w:sz w:val="22"/>
        </w:rPr>
        <w:t>Nothing stated in this rule shall prohibit a mental health counselor or marriage and family therapist from conveying or transferring the client records to another licensed individual who is assuming a practice, provided that written notice is furnished to all clients.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9410C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481—884.4</w:t>
      </w:r>
      <w:r>
        <w:rPr>
          <w:rFonts w:ascii="Times New Roman" w:hAnsi="Times New Roman"/>
          <w:b/>
          <w:i w:val="false"/>
          <w:color w:val="000000"/>
          <w:sz w:val="22"/>
        </w:rPr>
        <w:t xml:space="preserve">(154C) </w:t>
      </w:r>
      <w:r>
        <w:rPr>
          <w:rFonts w:ascii="Times New Roman" w:hAnsi="Times New Roman"/>
          <w:b/>
          <w:i w:val="false"/>
          <w:color w:val="000000"/>
          <w:sz w:val="22"/>
        </w:rPr>
        <w:t xml:space="preserve">Social work rules of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provide services to clients only in the context of a professional relationship based, when appropriate, on valid written informed consent. A social worker will use clear and understandable language to inform clients about the nature of available services, potential benefits and risks, limits and risks of confidentiality, alternative ways of receiving assistance, applicable fees, and involvement of and sharing information with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client has difficulty communicating, a social worker will attempt to ensure the client’s comprehension. This may include providing the client with a detailed verbal explanation or arranging for a qualified interpreter or translator whenever possible. A social worker will provide information in a manner that is understandable and culturally appropriate for the client. Clients will be given sufficient opportunity to ask questions and receive answers about social work services, including electronic delivery of services,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client lacks the capacity to provide informed consent, a social worker will protect the client’s interests by seeking permission from an appropriate third party and will inform the client consistent with the client’s level of understanding. In such instances, a social worker will seek to ensure that the third party acts in a manner consistent with the client’s wishes and interests. A social worker will take reasonable steps to enhance the client’s ability to give informed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client is receiving services involuntarily, a social worker will provide information about the nature and extent of services and about the extent of the client’s right to refuse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 of social work services to an individual in this state through any electronic means, including the Internet, telephone, or the Iowa communications network or any fiberoptic media, regardless of the location of the social worker, constitutes the practice of social work in the state of Iowa and will be subject to regulation in accordance with Iowa Code chapters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the administrative rules of the board. A social worker who provides services via electronic media will inform recipients of the limitations and risks associated with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social worker will obtain a client’s informed consent before audiotaping or videotaping the client or permitting a third party to observe services provided to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social worker will develop policies regarding the sharing, retention, and storage of digital and other electronic communications and records and will inform clients of applicable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provide services and represent oneself as competent only within the boundaries of the social worker’s education, training, license, certification, consultation received, supervised experience, or other relevant professional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will provide services in substantive areas or use intervention techniques or approaches that are new only after engaging in appropriate study, training, consultation, and supervision from people who are competent in those areas, interventions, or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generally recognized standards do not exist with respect to an emerging area of practice, a social worker will exercise careful judgment and take responsible steps, including appropriate education, research, training, consultation and supervision, to ensure competence and to protect clients from harm.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884.4(3)</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exercise appropriate supervision over persons who practice under the supervision of the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who provides supervision or consultation will have the necessary knowledge and skill to supervise or consult appropriately and will do so only within the social worker’s areas of knowledge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social worker who provides supervision or consultation is responsible for setting clear, appropriate, and culturally sensitive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engage in any dual or multiple relationships with supervisees if there is a risk of exploitation of or potential harm to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engage in sexual activities or sexual contact with a supervisee, student, trainee, or other colleague over whom the social worker exercises professional or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employ, assign, or supervise an individual in the performance of services that require a license if the individual has not received a license to perform the services or if the individual has a suspended, revoked, lapsed, or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practice without receiving supervision, as needed, given the social worker’s level of practice, experience, and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884.4(4)</w:t>
      </w:r>
      <w:r>
        <w:rPr>
          <w:rFonts w:ascii="Times New Roman" w:hAnsi="Times New Roman"/>
          <w:b w:val="false"/>
          <w:i w:val="false"/>
          <w:color w:val="000000"/>
          <w:sz w:val="22"/>
        </w:rPr>
        <w:t> </w:t>
      </w:r>
      <w:r>
        <w:rPr>
          <w:rFonts w:ascii="Times New Roman" w:hAnsi="Times New Roman"/>
          <w:b w:val="false"/>
          <w:i/>
          <w:color w:val="000000"/>
          <w:sz w:val="22"/>
        </w:rPr>
        <w:t xml:space="preserve">Privacy and 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disclose or be compelled to disclose client information unless required by law, except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social worker determines that disclosure is necessary to prevent serious, foreseeable, and imminent harm to the client or another specific identifiable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client waives the privilege by bringing criminal, civil, or administrative charges or action against a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 the written informed consent of the client that explains to whom the client information will be disclosed or released and the purpose and time frame for the release of information. If the client is deceased or unable to provide informed consent, a social worker will obtain written consent from the client’s personal representative, another person authorized to sue, or the beneficiary of an insurance policy on the client’s life, health,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testify in a court or administrative hearing concerning matters pertaining to the welfare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seek collaboration or consultation with professional colleagues or administrative superiors on behalf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a validly issued subpoena or court order. </w:t>
      </w:r>
    </w:p>
    <w:p>
      <w:pPr>
        <w:spacing w:before="0" w:after="0"/>
        <w:ind w:left="120"/>
        <w:jc w:val="both"/>
      </w:pPr>
      <w:r>
        <w:rPr>
          <w:rFonts w:ascii="Times New Roman" w:hAnsi="Times New Roman"/>
          <w:b w:val="false"/>
          <w:i w:val="false"/>
          <w:color w:val="000000"/>
          <w:sz w:val="22"/>
        </w:rPr>
        <w:t>In the event of a disclosure of information under any of the circumstances stated above, the social worker will disclose the least amount of confidential information necessary and will reveal only that information that is directly relevant to the purpose for which the disclosure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the disclosure is made, on the basis of client consent or other legal basis, a social worker will inform the client, to the extent possible, about the disclosure of confidential information and the potential consequences of the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social worker will discuss with clients and other interested parties the nature of confidentiality and limitations of a client’s right to confidentiality. A social worker will review with clients the circumstances under which confidential information may be requested and when disclosure of confidential information may be legally required. This discussion should occur as soon as possible in the professional relationship and as needed throughout the course of the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social worker provides counseling or psychosocial therapy services to families, couples, or groups, the social worker will seek agreement among the parties involved concerning each individual’s right to confidentiality and obligation to preserve the confidentiality of information shared by others. A social worker will inform participants in family, couples, or group counseling or psychosocial therapy that the social worker cannot guarantee that all participants will honor such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will inform clients involved in family, couples, marital, or group counseling or psychosocial therapy of the policy of the social worker, the social worker’s employer, and the agency concerning the social worker’s disclosure of confidential information among the parties involved in the counseling or psychosocial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disclose confidential information to third-party payers unless a client has authorized such disclosure. A social worker will inform the client of the nature of the client information to be disclosed or released to the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discuss confidential information in any setting unless privacy can be ensured.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social worker will protect the confidentiality of clients during legal proceedings to the extent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social worker will protect the confidentiality of clients when the social worker is responding to requests from members of the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social worker will protect the confidentiality of clients’ written and electronic records and other sensitive information. A social worker will take reasonable steps to ensure that client records are stored in a secure location and that client records are not available to others who are not authorized to have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social worker will take precautions to ensure and maintain the confidentiality of information transmitted to other parties through the use of computers, electronic mail, facsimile machines, telephones, telephone answering machines, and other electronic or computer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social worker will transfer or dispose of client records in a manner that protects client confidentiality and is consistent with federal and state statutes, rules and regulations and the guidelines of the social worker’s employer or agency,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social worker will take reasonable precautions to protect client confidentiality in the event of the social worker’s termination of practice, incapacitation,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disclose identifying information when discussing a client for teaching or training purposes or in public presentations unless the client has consented to disclosure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disclose identifying information when discussing a client with consultants unless the client has consented to disclosure of confidential information or there is a compelling need for such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Consistent with the preceding standards, a social worker will protect the confidentiality of deceased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884.4(5)</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maintain sufficient, timely, and accurate documentation in client records. A social worker’s records will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who provides clinical services in any employment setting, including private practice, will maintain timely records that include subjective and objective data, assessment or diagnosis, a treatment plan, and any revisions to the assessment, diagnosis, or plan made during the course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social worker who provides clinical services will store records in accordance with state and federal statutes, rules, and regulations governing record retention and with the guidelines of the social worker’s employer or agency, if applicable. If no other legal provisions govern record retention, a social worker will store all client records for a minimum of seven years following the termination of services to ensure reasonable future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884.4(6)</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A social worker who provides clinical services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client with reasonable access to records concerning the client. A social worker who is concerned that a client’s access to the client’s records could cause serious misunderstanding or harm to the client will provide assistance in interpreting the records and consultation with the client regarding the records. A social worker may limit a client’s access to the client’s records, or portions of the records, only in exceptional circumstances when there is compelling evidence that such access would cause serious harm to the client. Both the client’s request and the rationale for withholding some or all of a record should be documented in the client’s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steps to protect the confidentiality of other individuals identified or discussed in any records to which a client is provided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884.4(7)</w:t>
      </w:r>
      <w:r>
        <w:rPr>
          <w:rFonts w:ascii="Times New Roman" w:hAnsi="Times New Roman"/>
          <w:b w:val="false"/>
          <w:i w:val="false"/>
          <w:color w:val="000000"/>
          <w:sz w:val="22"/>
        </w:rPr>
        <w:t> </w:t>
      </w:r>
      <w:r>
        <w:rPr>
          <w:rFonts w:ascii="Times New Roman" w:hAnsi="Times New Roman"/>
          <w:b w:val="false"/>
          <w:i/>
          <w:color w:val="000000"/>
          <w:sz w:val="22"/>
        </w:rPr>
        <w:t xml:space="preserve">Billing and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bill only for services that have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accept goods or services from the client or a third party in exchange for the social worker’s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solicit a private fee or other remuneration for providing services to clients who are entitled to such available services through the social worker’s employer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accept, give, offer or solicit a fee, commission, rebate, fee split, or other form of consideration for the referral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permit any person to share in the fees for professional services, other than a partner, an employee, an associate in a professional firm, or a consultant to the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social worker who provides clinical services will,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billing practices that accurately reflect the nature and extent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the client of the fee for services at the initial session or meeting with the client. A social worker will provide a written payment arrangement to a client at the commencement of the professional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884.4(8)</w:t>
      </w:r>
      <w:r>
        <w:rPr>
          <w:rFonts w:ascii="Times New Roman" w:hAnsi="Times New Roman"/>
          <w:b w:val="false"/>
          <w:i w:val="false"/>
          <w:color w:val="000000"/>
          <w:sz w:val="22"/>
        </w:rPr>
        <w:t> </w:t>
      </w:r>
      <w:r>
        <w:rPr>
          <w:rFonts w:ascii="Times New Roman" w:hAnsi="Times New Roman"/>
          <w:b w:val="false"/>
          <w:i/>
          <w:color w:val="000000"/>
          <w:sz w:val="22"/>
        </w:rPr>
        <w:t xml:space="preserve">Dual relationships and conflicts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“Dual relationship” means that a social worker develops or assumes a secondary role with a client, including but not limited to a social relationship, an emotional relationship, an employment relationship, or a business association. For purposes of these rules, “dual relationship” does not include a sexual relationship. Standards governing sexual relationships are found in subrule </w:t>
      </w:r>
      <w:hyperlink r:id="rId8">
        <w:r>
          <w:rPr>
            <w:rStyle w:val="Hyperlink"/>
            <w:rFonts w:ascii="Times New Roman" w:hAnsi="Times New Roman"/>
            <w:b w:val="false"/>
            <w:i w:val="false"/>
            <w:color w:val="000000"/>
            <w:sz w:val="22"/>
          </w:rPr>
          <w:t>884.4(9)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clients. A social worker will not engage in a dual relationship with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Former clients. A social worker will not engage in a dual relationship with a client within five years of the termination of the client relationship. A social worker will not engage in a dual relationship with a former client, regardless of the length of time elapsed since termination of the client relationship, when there is a risk of exploitation or potential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Unavoidable dual relationships with current and former clients. If a dual relationship with a current or former client is unavoidable, the social worker will take steps to protect the client and will be responsible for setting clear, appropriate, and culturally sensitive boundaries. The burden will be on the social worker to show that the dual relationship was unavoidable. In determining whether a dual relationship was unavoidable, the board will consider the size of the community, the nature of the relationship, and the risk of exploitation or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social worker will avoid conflicts of interest that interfere with the exercise of professional discretion and impartial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continue in a professional relationship with a client when the social worker has become emotionally involved with the client to the extent that objectivity is no longer possible in providing the required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social worker will inform the client when a real or potential conflict of interest arises and take reasonable steps to resolve the issue in a manner that makes the client’s interests primary and protects the client’s interests to the greatest extent possible. In some cases, protecting the client’s interests may require termination of the professional relationship with proper referral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take unfair advantage of any professional relationship or exploit others to further the social worker’s personal, religious, political, or business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social worker who provides services to two or more people who have a relationship with each other will clarify with all parties, when appropriate and in a manner consistent with the confidentiality standards of subrule </w:t>
      </w:r>
      <w:hyperlink r:id="rId9">
        <w:r>
          <w:rPr>
            <w:rStyle w:val="Hyperlink"/>
            <w:rFonts w:ascii="Times New Roman" w:hAnsi="Times New Roman"/>
            <w:b w:val="false"/>
            <w:i w:val="false"/>
            <w:color w:val="000000"/>
            <w:sz w:val="22"/>
          </w:rPr>
          <w:t>884.4(4)</w:t>
        </w:r>
      </w:hyperlink>
      <w:r>
        <w:rPr>
          <w:rFonts w:ascii="Times New Roman" w:hAnsi="Times New Roman"/>
          <w:b w:val="false"/>
          <w:i w:val="false"/>
          <w:color w:val="000000"/>
          <w:sz w:val="22"/>
        </w:rPr>
        <w:t xml:space="preserve">, which individuals will be considered clients and the nature of the social worker’s professional obligations to the various individuals who are receiving services. A social worker who anticipates a conflict of interest among the individuals receiving services or who anticipates having to perform in potentially conflicting roles will clarify, when appropriate and in a manner consistent with the confidentiality standards at subrule </w:t>
      </w:r>
      <w:hyperlink r:id="rId10">
        <w:r>
          <w:rPr>
            <w:rStyle w:val="Hyperlink"/>
            <w:rFonts w:ascii="Times New Roman" w:hAnsi="Times New Roman"/>
            <w:b w:val="false"/>
            <w:i w:val="false"/>
            <w:color w:val="000000"/>
            <w:sz w:val="22"/>
          </w:rPr>
          <w:t>884.4(4)</w:t>
        </w:r>
      </w:hyperlink>
      <w:r>
        <w:rPr>
          <w:rFonts w:ascii="Times New Roman" w:hAnsi="Times New Roman"/>
          <w:b w:val="false"/>
          <w:i w:val="false"/>
          <w:color w:val="000000"/>
          <w:sz w:val="22"/>
        </w:rPr>
        <w:t>, the social worker’s role with the parties involved and take appropriate action to minimize any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884.4(9)</w:t>
      </w:r>
      <w:r>
        <w:rPr>
          <w:rFonts w:ascii="Times New Roman" w:hAnsi="Times New Roman"/>
          <w:b w:val="false"/>
          <w:i w:val="false"/>
          <w:color w:val="000000"/>
          <w:sz w:val="22"/>
        </w:rPr>
        <w:t> </w:t>
      </w:r>
      <w:r>
        <w:rPr>
          <w:rFonts w:ascii="Times New Roman" w:hAnsi="Times New Roman"/>
          <w:b w:val="false"/>
          <w:i/>
          <w:color w:val="000000"/>
          <w:sz w:val="22"/>
        </w:rPr>
        <w:t xml:space="preserve">Sexual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clients. A social worker will not engage in sexual activities or sexual contact with a client, regardless of whether such contact is consensual or nonconsensual.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clients. A social worker will not engage in sexual activities or sexual contact with a former client within the five years following termination of the client relationship. A social worker will not engage in sexual activities or sexual contact with a former client, regardless of the length of time elapsed since termination of the client relationship, if the client has a history of physical, emotional, or sexual abuse or if the client has ever been diagnosed with any form of psychosis or personality disorder or if the client is likely to remain in need of therapy due to the intensity or chronicity of a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engage in sexual activities or sexual contact with a client’s or former client’s spouse or significant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engage in sexual activities or sexual contact with a client’s or former client’s relative within the second degree of consanguinity (client’s parent, grandparent, child, grandchild, or sibling) when there is a risk of exploitation or potential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provide clinical services to an individual with whom the social worker has had prior sexual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884.4(10)</w:t>
      </w:r>
      <w:r>
        <w:rPr>
          <w:rFonts w:ascii="Times New Roman" w:hAnsi="Times New Roman"/>
          <w:b w:val="false"/>
          <w:i w:val="false"/>
          <w:color w:val="000000"/>
          <w:sz w:val="22"/>
        </w:rPr>
        <w:t> </w:t>
      </w:r>
      <w:r>
        <w:rPr>
          <w:rFonts w:ascii="Times New Roman" w:hAnsi="Times New Roman"/>
          <w:b w:val="false"/>
          <w:i/>
          <w:color w:val="000000"/>
          <w:sz w:val="22"/>
        </w:rPr>
        <w:t xml:space="preserve">Physical contact. </w:t>
      </w:r>
      <w:r>
        <w:rPr>
          <w:rFonts w:ascii="Times New Roman" w:hAnsi="Times New Roman"/>
          <w:b w:val="false"/>
          <w:i w:val="false"/>
          <w:color w:val="000000"/>
          <w:sz w:val="22"/>
        </w:rPr>
        <w:t>A social worker will not engage in physical contact with a client when there is a possibility of psychological harm to the client as a result of the contact. A social worker who engages in appropriate physical contact with a client is responsible for setting clear, appropriate, and culturally and age-sensitive boundaries that govern such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terminate services when such services are no longer required or no longer serve the client’s needs or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will take reasonable steps to avoid abandoning clients who are still in need of services. A social worker will assist in making appropriate arrangements for continuation of services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terminate services to pursue a social, financial, business, romantic, or sexual relationship with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social worker who anticipates the termination or interruption of services to a client will notify the client promptly and seek the transfer, referral, or continuation of services in relation to the client’s needs and preferences.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who is leaving an employment setting will inform clients, to the extent possible given the nature of the termination of the employment relationship, of appropriate options for the continuation of services and of the benefits and risks of the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employer who terminates a social worker is also a social worker, the employer will provide notice to clients or allow the social worker the opportunity to provide notice to clients to ensure appropriate case closure or continuation or transfer of services if continued treatment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social worker who provides clinical services will comply with the following additional standards regarding termination of the client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Termination of a client relationship will be documented in the client record. Absent written documentation of termination, the professional relationship will be considered ongoing.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social worker who practices in a fee-for-service setting may terminate services to a client who is not paying an overdue balance only if the financial contractual arrangements have been made clear to the client, if the client does not pose an imminent danger to self or others, and if the clinical and other consequences of the current nonpayment have been addressed and discussed with the client. Prior to terminating services under this subrule, a social worker will make reasonable efforts to collect the unpaid fees and will make appropriate referrals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884.4(12)</w:t>
      </w:r>
      <w:r>
        <w:rPr>
          <w:rFonts w:ascii="Times New Roman" w:hAnsi="Times New Roman"/>
          <w:b w:val="false"/>
          <w:i w:val="false"/>
          <w:color w:val="000000"/>
          <w:sz w:val="22"/>
        </w:rPr>
        <w:t> </w:t>
      </w:r>
      <w:r>
        <w:rPr>
          <w:rFonts w:ascii="Times New Roman" w:hAnsi="Times New Roman"/>
          <w:b w:val="false"/>
          <w:i/>
          <w:color w:val="000000"/>
          <w:sz w:val="22"/>
        </w:rPr>
        <w:t xml:space="preserve">Misrepresentations, disclosure. </w:t>
      </w:r>
      <w:r>
        <w:rPr>
          <w:rFonts w:ascii="Times New Roman" w:hAnsi="Times New Roman"/>
          <w:b w:val="false"/>
          <w:i w:val="false"/>
          <w:color w:val="000000"/>
          <w:sz w:val="22"/>
        </w:rPr>
        <w:t>A social worker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make a materially false statement, or fail to disclose a relevant material fact, in a letter of reference, application, referral, report or other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allow another person to use the social worker’s license or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aid or abet a person who is misrepresenting the person’s professional credentials or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Impersonate another person or misrepresent an organizational affiliation in one’s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Further the application or make a recommendation for professional licensure of another person who is known by the social worker to be unqualified in respect to character, education, experience, or other relevant attribute.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 to notify the appropriate licensing authority of any human services professional who is practicing or teaching in violation of the laws or rules governing that person’s professional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 in professional activities, including advertising, that involve dishonesty, fraud, deceit,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Advertise services in a false or misleading manner or fail to indicate in the advertisement the name, highest relevant degree, and licensure status of the provider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 to distinguish, or purposely mislead the reader or listener, in public announcements, addresses, letters and reports as to whether the statements are made as a private individual or whether they are made on behalf of an employer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Engage in direct solicitation of potential clients for pecuniary gain in a manner or in circumstances that constitute overreacting, undue influence, misrepresentation or invasion of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 to inform each client of any financial interests that might accrue to the social worker for referral to any other person or organization or for the use of tests, books, or apparatus.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 to inform each client that the client may be entitled to the same services from a public agency if the social worker is employed by that public agency and also offers services privately.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Make claims of professional superiority that cannot be substantiated by the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Guarantee that satisfaction or a cure will result from the performance of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Claim or use any secret or special method of treatment or techniques that the social worker refuses to divulge to professional colleagues.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Take credit for work not personally performed, whether by giving inaccurate information or failing to give accurate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Offer social work services or use the designation of licensed bachelor social worker, licensed master social worker, or licensed independent social worker; use the designations licensed baccalaureate social worker (LBSW), LMSW, or LISW or any other designation indicating licensure status; or hold oneself out as practicing at a certain level of licensure unless the social worker is duly licensed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Permit another person to use the social worker’s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884.4(13)</w:t>
      </w:r>
      <w:r>
        <w:rPr>
          <w:rFonts w:ascii="Times New Roman" w:hAnsi="Times New Roman"/>
          <w:b w:val="false"/>
          <w:i w:val="false"/>
          <w:color w:val="000000"/>
          <w:sz w:val="22"/>
        </w:rPr>
        <w:t> </w:t>
      </w:r>
      <w:r>
        <w:rPr>
          <w:rFonts w:ascii="Times New Roman" w:hAnsi="Times New Roman"/>
          <w:b w:val="false"/>
          <w:i/>
          <w:color w:val="000000"/>
          <w:sz w:val="22"/>
        </w:rPr>
        <w:t xml:space="preserve">Impairments.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Practice in a professional relationship while intoxicated or under the influence of alcohol or drugs not prescribed by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in a professional relationship while experiencing a mental or physical impairment that adversely affects the ability of the social worker to perform professional duties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Practice in a professional relationship if involuntarily committed for treatment of mental illness, drug addiction, or 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social worker who self-reports an impairment or suspected impairment to the board may be eligible for confidential monitoring by the impaired practitioner review committee. The social worker will be provided the Impaired Practitioner Report form to initiate the process. Standards governing the impaired practitioner review committee may be found in </w:t>
      </w:r>
      <w:hyperlink r:id="rId11">
        <w:r>
          <w:rPr>
            <w:rStyle w:val="Hyperlink"/>
            <w:rFonts w:ascii="Times New Roman" w:hAnsi="Times New Roman"/>
            <w:b w:val="false"/>
            <w:i w:val="false"/>
            <w:color w:val="000000"/>
            <w:sz w:val="22"/>
          </w:rPr>
          <w:t>193—Chapter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884.4(14)</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If engaged in research, a social worker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 carefully the possible consequences for human beings participating in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 each participant from unwarranted physical and mental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the consent of the participant is voluntary and informed and that each participant executes a signed informed consent form that details the nature of the research and any known possible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 information obtained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knowingly report distorted, erroneous,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884.4(15)</w:t>
      </w:r>
      <w:r>
        <w:rPr>
          <w:rFonts w:ascii="Times New Roman" w:hAnsi="Times New Roman"/>
          <w:b w:val="false"/>
          <w:i w:val="false"/>
          <w:color w:val="000000"/>
          <w:sz w:val="22"/>
        </w:rPr>
        <w:t> </w:t>
      </w:r>
      <w:r>
        <w:rPr>
          <w:rFonts w:ascii="Times New Roman" w:hAnsi="Times New Roman"/>
          <w:b w:val="false"/>
          <w:i/>
          <w:color w:val="000000"/>
          <w:sz w:val="22"/>
        </w:rPr>
        <w:t xml:space="preserve">Organization relationships and business practices. </w:t>
      </w:r>
      <w:r>
        <w:rPr>
          <w:rFonts w:ascii="Times New Roman" w:hAnsi="Times New Roman"/>
          <w:b w:val="false"/>
          <w:i w:val="false"/>
          <w:color w:val="000000"/>
          <w:sz w:val="22"/>
        </w:rPr>
        <w:t>A social worker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Solicit the clients of colleagues or assume professional responsibility for clients of another agency or colleague without appropriate communication with that agency or colleague.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Abandon an agency, organization, institution, or group practice without reasonable notice or under circumstances that seriously impair the delivery of professional care to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Deliberately falsify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 to submit required reports and documents in a timely fashion to the extent that the well-being of the client is adversely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Delegate professional responsibilities to a person when the social worker knows, or has reason to know, that the person is not qualified by training, education, experience, or classification to perform the requested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884.4(16)</w:t>
      </w:r>
      <w:r>
        <w:rPr>
          <w:rFonts w:ascii="Times New Roman" w:hAnsi="Times New Roman"/>
          <w:b w:val="false"/>
          <w:i w:val="false"/>
          <w:color w:val="000000"/>
          <w:sz w:val="22"/>
        </w:rPr>
        <w:t> </w:t>
      </w:r>
      <w:r>
        <w:rPr>
          <w:rFonts w:ascii="Times New Roman" w:hAnsi="Times New Roman"/>
          <w:b w:val="false"/>
          <w:i/>
          <w:color w:val="000000"/>
          <w:sz w:val="22"/>
        </w:rPr>
        <w:t xml:space="preserve">Discrimination and sexual harassment.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practice, condone, or facilitate discrimination against a client, student, or supervisee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will not sexually harass a client, student, or supervisee. Sexual harassment includes sexual advances,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884.4(17)</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social worker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 without receiving supervision as needed, given the social worker’s level of practice, experience, and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 a professional discipline without an appropriate license or after expiration of the required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Physically or verbally abuse a client or colleague.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 possess, or attempt to obtain or possess a controlled substance without lawful authority; or sell, prescribe, give away, or administer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884.4(18)</w:t>
      </w:r>
      <w:r>
        <w:rPr>
          <w:rFonts w:ascii="Times New Roman" w:hAnsi="Times New Roman"/>
          <w:b w:val="false"/>
          <w:i w:val="false"/>
          <w:color w:val="000000"/>
          <w:sz w:val="22"/>
        </w:rPr>
        <w:t> </w:t>
      </w:r>
      <w:r>
        <w:rPr>
          <w:rFonts w:ascii="Times New Roman" w:hAnsi="Times New Roman"/>
          <w:b w:val="false"/>
          <w:i/>
          <w:color w:val="000000"/>
          <w:sz w:val="22"/>
        </w:rPr>
        <w:t xml:space="preserve">Relationship between the board’s rules of conduct and the National Association of Social Workers (NASW) Code of Ethics. </w:t>
      </w:r>
      <w:r>
        <w:rPr>
          <w:rFonts w:ascii="Times New Roman" w:hAnsi="Times New Roman"/>
          <w:b w:val="false"/>
          <w:i w:val="false"/>
          <w:color w:val="000000"/>
          <w:sz w:val="22"/>
        </w:rPr>
        <w:t>The NASW Code of Ethics is one resource for practitioners with respect to practice and ethical issues, and selected sections from the NASW Code of Ethics have been incorporated into the rules of conduct. A social worker’s professional conduct is governed by the board’s rules of conduct, and a social worker may be disciplined for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884.4(19)</w:t>
      </w:r>
      <w:r>
        <w:rPr>
          <w:rFonts w:ascii="Times New Roman" w:hAnsi="Times New Roman"/>
          <w:b w:val="false"/>
          <w:i w:val="false"/>
          <w:color w:val="000000"/>
          <w:sz w:val="22"/>
        </w:rPr>
        <w:t> </w:t>
      </w:r>
      <w:r>
        <w:rPr>
          <w:rFonts w:ascii="Times New Roman" w:hAnsi="Times New Roman"/>
          <w:b w:val="false"/>
          <w:i/>
          <w:color w:val="000000"/>
          <w:sz w:val="22"/>
        </w:rPr>
        <w:t xml:space="preserve">Electronic social work services. </w:t>
      </w:r>
      <w:r>
        <w:rPr>
          <w:rFonts w:ascii="Times New Roman" w:hAnsi="Times New Roman"/>
          <w:b w:val="false"/>
          <w:i w:val="false"/>
          <w:color w:val="000000"/>
          <w:sz w:val="22"/>
        </w:rPr>
        <w:t>A social worker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the client’s suitability and capacity for online and remote services at the point of the client’s first contact and use professional judgment to determine whether an initial in-person, videoconference, or telephone consultation is warranted before undertaking electronic social work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reasonable steps to verify the client’s identity, ability to consent to services, and location. When verification of a client’s identity is not feasible, social workers will inform the client of the limitations of services that can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Continually assess a client’s suitability for electronic social work services during the course of the professional relationship.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9410C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9410C</w:t>
      </w:r>
      <w:r>
        <w:rPr>
          <w:rFonts w:ascii="Times New Roman" w:hAnsi="Times New Roman"/>
          <w:b w:val="false"/>
          <w:i w:val="false"/>
          <w:color w:val="000000"/>
          <w:sz w:val="21"/>
        </w:rPr>
        <w:t xml:space="preserve"> (Notice ARC 8880C, IAB 2/19/25)</w:t>
      </w:r>
      <w:r>
        <w:rPr>
          <w:rFonts w:ascii="Times New Roman" w:hAnsi="Times New Roman"/>
          <w:b w:val="false"/>
          <w:i w:val="false"/>
          <w:color w:val="000000"/>
          <w:sz w:val="21"/>
        </w:rPr>
        <w:t>, IAB 7/9/25, effective 8/13/25]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80.2.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4C.pdf" Type="http://schemas.openxmlformats.org/officeDocument/2006/relationships/hyperlink" Id="rId7"/>
    <Relationship TargetMode="External" Target="https://www.legis.iowa.gov/docs/iac/rule/481.884.4.pdf" Type="http://schemas.openxmlformats.org/officeDocument/2006/relationships/hyperlink" Id="rId8"/>
    <Relationship TargetMode="External" Target="https://www.legis.iowa.gov/docs/iac/rule/481.884.4.pdf" Type="http://schemas.openxmlformats.org/officeDocument/2006/relationships/hyperlink" Id="rId9"/>
    <Relationship TargetMode="External" Target="https://www.legis.iowa.gov/docs/iac/rule/481.884.4.pdf" Type="http://schemas.openxmlformats.org/officeDocument/2006/relationships/hyperlink" Id="rId10"/>
    <Relationship TargetMode="External" Target="https://www.legis.iowa.gov/docs/iac/chapter/193.12.pdf" Type="http://schemas.openxmlformats.org/officeDocument/2006/relationships/hyperlink" Id="rId11"/>
    <Relationship TargetMode="External" Target="https://www.legis.iowa.gov/docs/ico/chapter/154B.pdf" Type="http://schemas.openxmlformats.org/officeDocument/2006/relationships/hyperlink" Id="rId12"/>
    <Relationship TargetMode="External" Target="https://www.legis.iowa.gov/docs/ico/chapter/154C.pdf" Type="http://schemas.openxmlformats.org/officeDocument/2006/relationships/hyperlink" Id="rId13"/>
    <Relationship TargetMode="External" Target="https://www.legis.iowa.gov/docs/ico/chapter/154D.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