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882</w:t>
      </w:r>
    </w:p>
    <w:p>
      <w:pPr>
        <w:spacing w:before="0" w:after="0"/>
        <w:ind w:left="120"/>
        <w:jc w:val="center"/>
      </w:pPr>
      <w:r>
        <w:rPr>
          <w:rFonts w:ascii="Times New Roman" w:hAnsi="Times New Roman"/>
          <w:b w:val="false"/>
          <w:i w:val="false"/>
          <w:color w:val="000000"/>
          <w:sz w:val="21"/>
        </w:rPr>
        <w:t>DISCIPLINE FOR MARITAL AND FAMILY THERAPISTS, MENTAL HEALTH COUNSELORS, BEHAVIOR ANALYSTS, PSYCHOLOGISTS, AND SOCIAL WORKERS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481—882.1</w:t>
      </w:r>
      <w:r>
        <w:rPr>
          <w:rFonts w:ascii="Times New Roman" w:hAnsi="Times New Roman"/>
          <w:b/>
          <w:i w:val="false"/>
          <w:color w:val="000000"/>
          <w:sz w:val="22"/>
        </w:rPr>
        <w:t xml:space="preserve">(154D,272C) </w:t>
      </w:r>
      <w:r>
        <w:rPr>
          <w:rFonts w:ascii="Times New Roman" w:hAnsi="Times New Roman"/>
          <w:b/>
          <w:i w:val="false"/>
          <w:color w:val="000000"/>
          <w:sz w:val="22"/>
        </w:rPr>
        <w:t xml:space="preserve">Mental health counselors, marriage and family therapists, and behavioral analysts—grounds for discipline. </w:t>
      </w:r>
      <w:r>
        <w:rPr>
          <w:rFonts w:ascii="Times New Roman" w:hAnsi="Times New Roman"/>
          <w:b w:val="false"/>
          <w:i w:val="false"/>
          <w:color w:val="000000"/>
          <w:sz w:val="22"/>
        </w:rPr>
        <w:t xml:space="preserve">The board may impose any of the disciplinary sanctions provided in Iowa Code section </w:t>
      </w:r>
      <w:hyperlink r:id="rId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national association’s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Marital and family therapists. </w:t>
      </w:r>
      <w:r>
        <w:rPr>
          <w:rFonts w:ascii="Times New Roman" w:hAnsi="Times New Roman"/>
          <w:b w:val="false"/>
          <w:i w:val="false"/>
          <w:color w:val="000000"/>
          <w:sz w:val="22"/>
        </w:rPr>
        <w:t>Failure to comply with the current American Association for Marriage and Family Therapy (AAMFT) Code of Ethics revised January 2015, which is hereby adopted by reference. Copies of the Code of Ethics may be obtained from the AAMFT’s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Mental health counselors. </w:t>
      </w:r>
      <w:r>
        <w:rPr>
          <w:rFonts w:ascii="Times New Roman" w:hAnsi="Times New Roman"/>
          <w:b w:val="false"/>
          <w:i w:val="false"/>
          <w:color w:val="000000"/>
          <w:sz w:val="22"/>
        </w:rPr>
        <w:t>Failure to comply with the current Code of Ethics of the American Counseling Association (ACA) published 2014, which is hereby adopted by reference. Copies of the Code of Ethics may be obtained from the ACA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analysts and assistant behavior analysts. </w:t>
      </w:r>
      <w:r>
        <w:rPr>
          <w:rFonts w:ascii="Times New Roman" w:hAnsi="Times New Roman"/>
          <w:b w:val="false"/>
          <w:i w:val="false"/>
          <w:color w:val="000000"/>
          <w:sz w:val="22"/>
        </w:rPr>
        <w:t>Failure to comply with the current Behavior Analyst Certification Board (BACB) Professional and Ethical Compliance Code for Behavior Analysts published January 2023, which is hereby adopted by reference. Copies of the Professional and Ethical Compliance Code may be obtained from the BACB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882.1(2)</w:t>
      </w:r>
      <w:r>
        <w:rPr>
          <w:rFonts w:ascii="Times New Roman" w:hAnsi="Times New Roman"/>
          <w:b w:val="false"/>
          <w:i w:val="false"/>
          <w:color w:val="000000"/>
          <w:sz w:val="22"/>
        </w:rPr>
        <w:t> </w:t>
      </w:r>
      <w:r>
        <w:rPr>
          <w:rFonts w:ascii="Times New Roman" w:hAnsi="Times New Roman"/>
          <w:b w:val="false"/>
          <w:i w:val="false"/>
          <w:color w:val="000000"/>
          <w:sz w:val="22"/>
        </w:rPr>
        <w:t>Sexual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clients. A licensee shall not engage in sexual activities or sexual contact with a client, regardless of whether such contact is consensual or nonconsensual.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clients. A licensee shall not engage in sexual activities or sexual contact with a former client within the five years following termination of the client relationship. A licensee shall not engage in sexual activities or sexual contact with a former client, regardless of the length of time elapsed since termination of the client relationship, if the client has a history of physical, emotional, or sexual abuse or if the client has ever been diagnosed with any form of psychosis or personality disorder or if the client is likely to remain in need of therapy due to the intensity or chronicity of a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not engage in sexual activities or sexual contact with a client’s or former client’s spouse or significant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not engage in sexual activities or sexual contact with a client’s or former client’s relative within the second degree of consanguinity (client’s parent, grandparent, child, grandchild, or sibling)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shall not provide clinical services to an individual with whom the licensee has had prior sexual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882.1(3)</w:t>
      </w:r>
      <w:r>
        <w:rPr>
          <w:rFonts w:ascii="Times New Roman" w:hAnsi="Times New Roman"/>
          <w:b w:val="false"/>
          <w:i w:val="false"/>
          <w:color w:val="000000"/>
          <w:sz w:val="22"/>
        </w:rPr>
        <w:t> </w:t>
      </w:r>
      <w:r>
        <w:rPr>
          <w:rFonts w:ascii="Times New Roman" w:hAnsi="Times New Roman"/>
          <w:b w:val="false"/>
          <w:i w:val="false"/>
          <w:color w:val="000000"/>
          <w:sz w:val="22"/>
        </w:rPr>
        <w:t>Physical contact. A licensee shall not engage in physical contact with a client when there is a possibility of psychological harm to the client as a result of the contact. A licensee who engages in appropriate physical contact with a client is responsible for setting clear, appropriate, and culturally and age-sensitive boundaries that govern such contact.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9402C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481—882.2</w:t>
      </w:r>
      <w:r>
        <w:rPr>
          <w:rFonts w:ascii="Times New Roman" w:hAnsi="Times New Roman"/>
          <w:b/>
          <w:i w:val="false"/>
          <w:color w:val="000000"/>
          <w:sz w:val="22"/>
        </w:rPr>
        <w:t xml:space="preserve">(147,272C) </w:t>
      </w:r>
      <w:r>
        <w:rPr>
          <w:rFonts w:ascii="Times New Roman" w:hAnsi="Times New Roman"/>
          <w:b/>
          <w:i w:val="false"/>
          <w:color w:val="000000"/>
          <w:sz w:val="22"/>
        </w:rPr>
        <w:t xml:space="preserve">Psychologists—grounds for discipline. </w:t>
      </w:r>
      <w:r>
        <w:rPr>
          <w:rFonts w:ascii="Times New Roman" w:hAnsi="Times New Roman"/>
          <w:b w:val="false"/>
          <w:i w:val="false"/>
          <w:color w:val="000000"/>
          <w:sz w:val="22"/>
        </w:rPr>
        <w:t xml:space="preserve">The board may impose any of the disciplinary sanctions provided in Iowa Code section </w:t>
      </w:r>
      <w:hyperlink r:id="rId7">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the following offense or those listed in </w:t>
      </w:r>
      <w:hyperlink r:id="rId8">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failure to comply with the Ethical Principles of Psychologists and Code of Conduct of the American Psychological Association, as published in the December 2002 edition of American Psychologist and including amendments effective January 1, 2017, hereby adopted by reference. Copies of the Ethical Principles of Psychologists and Code of Conduct may be obtained from the American Psychological Association’s website at </w:t>
      </w:r>
      <w:hyperlink r:id="rId9">
        <w:r>
          <w:rPr>
            <w:rStyle w:val="Hyperlink"/>
            <w:rFonts w:ascii="Times New Roman" w:hAnsi="Times New Roman"/>
            <w:b w:val="false"/>
            <w:i w:val="false"/>
            <w:color w:val="000000"/>
            <w:sz w:val="22"/>
            <w:u w:val="single"/>
          </w:rPr>
          <w:t>www.apa.org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9402C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481—882.3</w:t>
      </w:r>
      <w:r>
        <w:rPr>
          <w:rFonts w:ascii="Times New Roman" w:hAnsi="Times New Roman"/>
          <w:b/>
          <w:i w:val="false"/>
          <w:color w:val="000000"/>
          <w:sz w:val="22"/>
        </w:rPr>
        <w:t xml:space="preserve">(272C) </w:t>
      </w:r>
      <w:r>
        <w:rPr>
          <w:rFonts w:ascii="Times New Roman" w:hAnsi="Times New Roman"/>
          <w:b/>
          <w:i w:val="false"/>
          <w:color w:val="000000"/>
          <w:sz w:val="22"/>
        </w:rPr>
        <w:t xml:space="preserve">Social workers—grounds for discipline. </w:t>
      </w:r>
      <w:r>
        <w:rPr>
          <w:rFonts w:ascii="Times New Roman" w:hAnsi="Times New Roman"/>
          <w:b w:val="false"/>
          <w:i w:val="false"/>
          <w:color w:val="000000"/>
          <w:sz w:val="22"/>
        </w:rPr>
        <w:t xml:space="preserve">The board may impose any of the disciplinary sanctions provided in Iowa Code section </w:t>
      </w:r>
      <w:hyperlink r:id="rId10">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the following offense or those listed in </w:t>
      </w:r>
      <w:hyperlink r:id="rId11">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violation of a regulation, rule, or law of this state, another state, or the United States that relates to the practice of social work, including but not limited to the rules of conduct found in rule </w:t>
      </w:r>
      <w:hyperlink r:id="rId12">
        <w:r>
          <w:rPr>
            <w:rStyle w:val="Hyperlink"/>
            <w:rFonts w:ascii="Times New Roman" w:hAnsi="Times New Roman"/>
            <w:b w:val="false"/>
            <w:i w:val="false"/>
            <w:color w:val="000000"/>
            <w:sz w:val="22"/>
          </w:rPr>
          <w:t>481—884.4</w:t>
        </w:r>
      </w:hyperlink>
      <w:r>
        <w:rPr>
          <w:rFonts w:ascii="Times New Roman" w:hAnsi="Times New Roman"/>
          <w:b w:val="false"/>
          <w:i w:val="false"/>
          <w:color w:val="000000"/>
          <w:sz w:val="22"/>
        </w:rPr>
        <w:t>(154C).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9402C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9402C</w:t>
      </w:r>
      <w:r>
        <w:rPr>
          <w:rFonts w:ascii="Times New Roman" w:hAnsi="Times New Roman"/>
          <w:b w:val="false"/>
          <w:i w:val="false"/>
          <w:color w:val="000000"/>
          <w:sz w:val="21"/>
        </w:rPr>
        <w:t xml:space="preserve"> (Notice ARC 8875C, IAB 2/19/25)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272C.3.pdf" Type="http://schemas.openxmlformats.org/officeDocument/2006/relationships/hyperlink" Id="rId7"/>
    <Relationship TargetMode="External" Target="https://www.legis.iowa.gov/docs/iac/chapter/481.504.pdf" Type="http://schemas.openxmlformats.org/officeDocument/2006/relationships/hyperlink" Id="rId8"/>
    <Relationship TargetMode="External" Target="http://www.apa.org" Type="http://schemas.openxmlformats.org/officeDocument/2006/relationships/hyperlink" Id="rId9"/>
    <Relationship TargetMode="External" Target="https://www.legis.iowa.gov/docs/ico/chapter/272C.3.pdf" Type="http://schemas.openxmlformats.org/officeDocument/2006/relationships/hyperlink" Id="rId10"/>
    <Relationship TargetMode="External" Target="https://www.legis.iowa.gov/docs/iac/chapter/481.504.pdf" Type="http://schemas.openxmlformats.org/officeDocument/2006/relationships/hyperlink" Id="rId11"/>
    <Relationship TargetMode="External" Target="https://www.legis.iowa.gov/docs/iac/rule/481.884.4.pdf" Type="http://schemas.openxmlformats.org/officeDocument/2006/relationships/hyperlink" Id="rId12"/>
    <Relationship TargetMode="External" Target="https://www.legis.iowa.gov/docs/ico/chapter/147.pdf" Type="http://schemas.openxmlformats.org/officeDocument/2006/relationships/hyperlink" Id="rId13"/>
    <Relationship TargetMode="External" Target="https://www.legis.iowa.gov/docs/ico/chapter/154B.pdf" Type="http://schemas.openxmlformats.org/officeDocument/2006/relationships/hyperlink" Id="rId14"/>
    <Relationship TargetMode="External" Target="https://www.legis.iowa.gov/docs/ico/chapter/154C.pdf" Type="http://schemas.openxmlformats.org/officeDocument/2006/relationships/hyperlink" Id="rId15"/>
    <Relationship TargetMode="External" Target="https://www.legis.iowa.gov/docs/ico/chapter/154D.pdf" Type="http://schemas.openxmlformats.org/officeDocument/2006/relationships/hyperlink" Id="rId16"/>
    <Relationship TargetMode="External" Target="https://www.legis.iowa.gov/docs/ico/chapter/272C.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