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862</w:t>
      </w:r>
    </w:p>
    <w:p>
      <w:pPr>
        <w:spacing w:before="0" w:after="0"/>
        <w:ind w:left="120"/>
        <w:jc w:val="center"/>
      </w:pPr>
      <w:r>
        <w:rPr>
          <w:rFonts w:ascii="Times New Roman" w:hAnsi="Times New Roman"/>
          <w:b w:val="false"/>
          <w:i w:val="false"/>
          <w:color w:val="000000"/>
          <w:sz w:val="21"/>
        </w:rPr>
        <w:t>CONTINUING EDUCATION FOR ATHLETIC TRAINERS</w:t>
      </w:r>
    </w:p>
    <w:p>
      <w:pPr>
        <w:spacing w:before="0" w:after="0"/>
        <w:ind w:left="120"/>
        <w:jc w:val="center"/>
      </w:pPr>
      <w:r>
        <w:rPr>
          <w:rFonts w:ascii="Times New Roman" w:hAnsi="Times New Roman"/>
          <w:b w:val="false"/>
          <w:i w:val="false"/>
          <w:color w:val="000000"/>
          <w:sz w:val="14"/>
        </w:rPr>
        <w:t>[Prior to 9/18/24, see Professional Licensure Division[645] Ch 352]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6/5/29</w:t>
      </w:r>
    </w:p>
    <w:p>
      <w:pPr>
        <w:spacing w:before="0" w:after="0"/>
        <w:ind w:left="120"/>
        <w:jc w:val="both"/>
      </w:pPr>
      <w:r>
        <w:rPr>
          <w:rFonts w:ascii="Times New Roman" w:hAnsi="Times New Roman"/>
          <w:b/>
          <w:i w:val="false"/>
          <w:color w:val="000000"/>
          <w:sz w:val="22"/>
        </w:rPr>
        <w:t>481—862.1</w:t>
      </w:r>
      <w:r>
        <w:rPr>
          <w:rFonts w:ascii="Times New Roman" w:hAnsi="Times New Roman"/>
          <w:b/>
          <w:i w:val="false"/>
          <w:color w:val="000000"/>
          <w:sz w:val="22"/>
        </w:rPr>
        <w:t xml:space="preserve">(272C)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“Audit” </w:t>
      </w:r>
      <w:r>
        <w:rPr>
          <w:rFonts w:ascii="Times New Roman" w:hAnsi="Times New Roman"/>
          <w:b w:val="false"/>
          <w:i w:val="false"/>
          <w:color w:val="000000"/>
          <w:sz w:val="22"/>
        </w:rPr>
        <w:t>means the selection of licensees for verification of satisfactory completion of continuing education requirements during a specified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the board of athletic training created under Iowa Code chapter </w:t>
      </w:r>
      <w:hyperlink r:id="rId5">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“BOC” </w:t>
      </w:r>
      <w:r>
        <w:rPr>
          <w:rFonts w:ascii="Times New Roman" w:hAnsi="Times New Roman"/>
          <w:b w:val="false"/>
          <w:i w:val="false"/>
          <w:color w:val="000000"/>
          <w:sz w:val="22"/>
        </w:rPr>
        <w:t>means the Board of Certification or its successor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272C.1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“Hour of continuing education” </w:t>
      </w:r>
      <w:r>
        <w:rPr>
          <w:rFonts w:ascii="Times New Roman" w:hAnsi="Times New Roman"/>
          <w:b w:val="false"/>
          <w:i w:val="false"/>
          <w:color w:val="000000"/>
          <w:sz w:val="22"/>
        </w:rPr>
        <w:t>means at least 50 minutes spent by a licensee completing an approved continuing education activity through live, virtual, online or prerecorded means where the instructor provides proof of completion by the licensee as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license to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as an athletic trainer in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7929C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481—862.2</w:t>
      </w:r>
      <w:r>
        <w:rPr>
          <w:rFonts w:ascii="Times New Roman" w:hAnsi="Times New Roman"/>
          <w:b/>
          <w:i w:val="false"/>
          <w:color w:val="000000"/>
          <w:sz w:val="22"/>
        </w:rPr>
        <w:t xml:space="preserve">(152D) </w:t>
      </w:r>
      <w:r>
        <w:rPr>
          <w:rFonts w:ascii="Times New Roman" w:hAnsi="Times New Roman"/>
          <w:b/>
          <w:i w:val="false"/>
          <w:color w:val="000000"/>
          <w:sz w:val="22"/>
        </w:rPr>
        <w:t xml:space="preserve">Continuing education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862.2(1)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biennial continuing education compliance period shall extend for a two-year period beginning on March 1 of each odd-numbered year and ending on February 28 of the next odd-numbered year. Each biennium, each person who is licensed to practice as an athletic trainer in this state will have the responsibility to finance the cost and be required to maintain BOC certification or complete a minimum of 40 hours of continuing education approved by the board.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862.2(2)</w:t>
      </w:r>
      <w:r>
        <w:rPr>
          <w:rFonts w:ascii="Times New Roman" w:hAnsi="Times New Roman"/>
          <w:b w:val="false"/>
          <w:i w:val="false"/>
          <w:color w:val="000000"/>
          <w:sz w:val="22"/>
        </w:rPr>
        <w:t> </w:t>
      </w:r>
      <w:r>
        <w:rPr>
          <w:rFonts w:ascii="Times New Roman" w:hAnsi="Times New Roman"/>
          <w:b w:val="false"/>
          <w:i w:val="false"/>
          <w:color w:val="000000"/>
          <w:sz w:val="22"/>
        </w:rPr>
        <w:t xml:space="preserve">Requirements for new licensees. Those persons licensed for the first time or being licensed for the first time after a temporary license shall not be required to complete continuing education as a prerequisite for the first renewal of their licenses. Continuing education hours acquired any time from the initial licensing until the second license renewal may be used. The new licensee will be required to maintain BOC certification or complete a minimum of 40 hours of continuing education per biennium for each subsequent license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862.2(3)</w:t>
      </w:r>
      <w:r>
        <w:rPr>
          <w:rFonts w:ascii="Times New Roman" w:hAnsi="Times New Roman"/>
          <w:b w:val="false"/>
          <w:i w:val="false"/>
          <w:color w:val="000000"/>
          <w:sz w:val="22"/>
        </w:rPr>
        <w:t> </w:t>
      </w:r>
      <w:r>
        <w:rPr>
          <w:rFonts w:ascii="Times New Roman" w:hAnsi="Times New Roman"/>
          <w:b w:val="false"/>
          <w:i w:val="false"/>
          <w:color w:val="000000"/>
          <w:sz w:val="22"/>
        </w:rPr>
        <w:t>Hours of continuing education credit may be obtained by attending and participating in a continuing education activity. These hours must be in accordance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862.2(4)</w:t>
      </w:r>
      <w:r>
        <w:rPr>
          <w:rFonts w:ascii="Times New Roman" w:hAnsi="Times New Roman"/>
          <w:b w:val="false"/>
          <w:i w:val="false"/>
          <w:color w:val="000000"/>
          <w:sz w:val="22"/>
        </w:rPr>
        <w:t> </w:t>
      </w:r>
      <w:r>
        <w:rPr>
          <w:rFonts w:ascii="Times New Roman" w:hAnsi="Times New Roman"/>
          <w:b w:val="false"/>
          <w:i w:val="false"/>
          <w:color w:val="000000"/>
          <w:sz w:val="22"/>
        </w:rPr>
        <w:t>Licensees who complete continuing education hours in excess of the requirements for renewal may apply up to 50 percent of the required hours to the following renewal period. Licensees may apply a maximum of 20 hours from the previous renewal period. A licensee whose license was reactivated during the current renewal compliance period may use continuing education earned during the compliance period for the first renewal following reactivation.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7929C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i w:val="false"/>
          <w:color w:val="000000"/>
          <w:sz w:val="16"/>
        </w:rPr>
        <w:t>ARC 9400C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481—862.3</w:t>
      </w:r>
      <w:r>
        <w:rPr>
          <w:rFonts w:ascii="Times New Roman" w:hAnsi="Times New Roman"/>
          <w:b/>
          <w:i w:val="false"/>
          <w:color w:val="000000"/>
          <w:sz w:val="22"/>
        </w:rPr>
        <w:t xml:space="preserve">(152D,272C) </w:t>
      </w:r>
      <w:r>
        <w:rPr>
          <w:rFonts w:ascii="Times New Roman" w:hAnsi="Times New Roman"/>
          <w:b/>
          <w:i w:val="false"/>
          <w:color w:val="000000"/>
          <w:sz w:val="22"/>
        </w:rPr>
        <w:t xml:space="preserve">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862.3(1)</w:t>
      </w:r>
      <w:r>
        <w:rPr>
          <w:rFonts w:ascii="Times New Roman" w:hAnsi="Times New Roman"/>
          <w:b w:val="false"/>
          <w:i w:val="false"/>
          <w:color w:val="000000"/>
          <w:sz w:val="22"/>
        </w:rPr>
        <w:t> </w:t>
      </w:r>
      <w:r>
        <w:rPr>
          <w:rFonts w:ascii="Times New Roman" w:hAnsi="Times New Roman"/>
          <w:b w:val="false"/>
          <w:i/>
          <w:color w:val="000000"/>
          <w:sz w:val="22"/>
        </w:rPr>
        <w:t xml:space="preserve">General criteria. </w:t>
      </w:r>
      <w:r>
        <w:rPr>
          <w:rFonts w:ascii="Times New Roman" w:hAnsi="Times New Roman"/>
          <w:b w:val="false"/>
          <w:i w:val="false"/>
          <w:color w:val="000000"/>
          <w:sz w:val="22"/>
        </w:rPr>
        <w:t>A continuing education activity that meets all of the following criteria is appropriate for continuing education credit if the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Constitutes an organized program of learning that contributes directly to the professional competency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Pertains to subject matters that integrally relate to the practice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conducted by individuals who have specialized education, training and experience by reason of which said individuals should be considered qualified concerning the subject matter of the program. At the time of audit, the board may request the qualifications of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Fulfills stated program goals, objectives, or both;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Provides proof of attendance to licensees in attendance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Date(s), location, course title,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program contact hours;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Certificate of completion or evidence of successful completion of the course provided by the course sponsor.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862.3(2)</w:t>
      </w:r>
      <w:r>
        <w:rPr>
          <w:rFonts w:ascii="Times New Roman" w:hAnsi="Times New Roman"/>
          <w:b w:val="false"/>
          <w:i w:val="false"/>
          <w:color w:val="000000"/>
          <w:sz w:val="22"/>
        </w:rPr>
        <w:t> </w:t>
      </w:r>
      <w:r>
        <w:rPr>
          <w:rFonts w:ascii="Times New Roman" w:hAnsi="Times New Roman"/>
          <w:b w:val="false"/>
          <w:i/>
          <w:color w:val="000000"/>
          <w:sz w:val="22"/>
        </w:rPr>
        <w:t xml:space="preserve">Specific criteria. </w:t>
      </w:r>
      <w:r>
        <w:rPr>
          <w:rFonts w:ascii="Times New Roman" w:hAnsi="Times New Roman"/>
          <w:b w:val="false"/>
          <w:i w:val="false"/>
          <w:color w:val="000000"/>
          <w:sz w:val="22"/>
        </w:rPr>
        <w:t>Continuing education may be obtained through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Completing a course provided by a BOC-approved provider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Attending workshops, conferences, or symposiums.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Authoring research, the results of which are published in a recognized professional publication. A licensee shall receive five hours of credit per page.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Presenting professional programs that meet the criteria of this chapter. Two hours of credit will be awarded for each hour of presentation. A course schedule or brochure must be maintained for audit. Presenting at a professional program does not include teaching a class at an institution of higher learning at which the applicant is regularly and primarily employed, nor does it include presentations to the lay public. A licensee may be granted no more than ten hours of continuing education credit per biennium for presenting professional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Completing academic courses that directly relate to the professional competency of the licensee. Official transcripts indicating successful completion of academic courses that apply to the field of athletic training must be maintained for audit. Continuing education credit equivalents are as follows:</w:t>
      </w:r>
    </w:p>
    <w:p>
      <w:pPr>
        <w:spacing w:before="0" w:after="0"/>
        <w:ind w:left="120"/>
        <w:jc w:val="both"/>
      </w:pPr>
      <w:r>
        <w:rPr>
          <w:rFonts w:ascii="Times New Roman" w:hAnsi="Times New Roman"/>
          <w:b w:val="false"/>
          <w:i w:val="false"/>
          <w:color w:val="000000"/>
          <w:sz w:val="22"/>
        </w:rPr>
        <w:t>1 academic semester hour = 15 continuing education hours</w:t>
      </w:r>
    </w:p>
    <w:p>
      <w:pPr>
        <w:spacing w:before="0" w:after="0"/>
        <w:ind w:left="120"/>
        <w:jc w:val="both"/>
      </w:pPr>
      <w:r>
        <w:rPr>
          <w:rFonts w:ascii="Times New Roman" w:hAnsi="Times New Roman"/>
          <w:b w:val="false"/>
          <w:i w:val="false"/>
          <w:color w:val="000000"/>
          <w:sz w:val="22"/>
        </w:rPr>
        <w:t>1 academic trimester hour = 12 continuing education hours</w:t>
      </w:r>
    </w:p>
    <w:p>
      <w:pPr>
        <w:spacing w:before="0" w:after="0"/>
        <w:ind w:left="120"/>
        <w:jc w:val="both"/>
      </w:pPr>
      <w:r>
        <w:rPr>
          <w:rFonts w:ascii="Times New Roman" w:hAnsi="Times New Roman"/>
          <w:b w:val="false"/>
          <w:i w:val="false"/>
          <w:color w:val="000000"/>
          <w:sz w:val="22"/>
        </w:rPr>
        <w:t xml:space="preserve">1 academic quarter hour = 10 continuing education hours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7929C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7">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 xml:space="preserve"> and chapter </w:t>
      </w:r>
      <w:hyperlink r:id="rId8">
        <w:r>
          <w:rPr>
            <w:rStyle w:val="Hyperlink"/>
            <w:rFonts w:ascii="Times New Roman" w:hAnsi="Times New Roman"/>
            <w:b w:val="false"/>
            <w:i w:val="false"/>
            <w:color w:val="000000"/>
            <w:sz w:val="22"/>
          </w:rPr>
          <w:t>152D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12/22/00, Notice 10/18/00—published 1/10/01, effective 2/14/01]</w:t>
      </w:r>
    </w:p>
    <w:p>
      <w:pPr>
        <w:spacing w:before="0" w:after="0"/>
        <w:ind w:left="120"/>
        <w:jc w:val="center"/>
      </w:pPr>
      <w:r>
        <w:rPr>
          <w:rFonts w:ascii="Times New Roman" w:hAnsi="Times New Roman"/>
          <w:b w:val="false"/>
          <w:i w:val="false"/>
          <w:color w:val="000000"/>
          <w:sz w:val="21"/>
        </w:rPr>
        <w:t>[Filed 3/29/02, Notice 10/3/01—published 4/17/02, effective 5/22/02]</w:t>
      </w:r>
    </w:p>
    <w:p>
      <w:pPr>
        <w:spacing w:before="0" w:after="0"/>
        <w:ind w:left="120"/>
        <w:jc w:val="center"/>
      </w:pPr>
      <w:r>
        <w:rPr>
          <w:rFonts w:ascii="Times New Roman" w:hAnsi="Times New Roman"/>
          <w:b w:val="false"/>
          <w:i w:val="false"/>
          <w:color w:val="000000"/>
          <w:sz w:val="21"/>
        </w:rPr>
        <w:t>[Filed 1/12/05, Notice 11/24/04—published 2/2/05, effective 3/9/05]</w:t>
      </w:r>
    </w:p>
    <w:p>
      <w:pPr>
        <w:spacing w:before="0" w:after="0"/>
        <w:ind w:left="120"/>
        <w:jc w:val="center"/>
      </w:pPr>
      <w:r>
        <w:rPr>
          <w:rFonts w:ascii="Times New Roman" w:hAnsi="Times New Roman"/>
          <w:b w:val="false"/>
          <w:i w:val="false"/>
          <w:color w:val="000000"/>
          <w:sz w:val="21"/>
        </w:rPr>
        <w:t>[Filed 6/22/05, Notice 4/13/05—published 7/20/05, effective 8/24/05]</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7/17/08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4/23/08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8/13/08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9/17/08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6265C</w:t>
      </w:r>
      <w:r>
        <w:rPr>
          <w:rFonts w:ascii="Times New Roman" w:hAnsi="Times New Roman"/>
          <w:b w:val="false"/>
          <w:i w:val="false"/>
          <w:color w:val="000000"/>
          <w:sz w:val="21"/>
        </w:rPr>
        <w:t xml:space="preserve"> (Notice ARC 6027C, IAB 11/3/21)</w:t>
      </w:r>
      <w:r>
        <w:rPr>
          <w:rFonts w:ascii="Times New Roman" w:hAnsi="Times New Roman"/>
          <w:b w:val="false"/>
          <w:i w:val="false"/>
          <w:color w:val="000000"/>
          <w:sz w:val="21"/>
        </w:rPr>
        <w:t>, IAB 3/23/22, effective 4/27/22]</w:t>
      </w:r>
    </w:p>
    <w:p>
      <w:pPr>
        <w:spacing w:before="0" w:after="0"/>
        <w:ind w:left="120"/>
        <w:jc w:val="center"/>
      </w:pPr>
      <w:r>
        <w:rPr>
          <w:rFonts w:ascii="Times New Roman" w:hAnsi="Times New Roman"/>
          <w:b w:val="false"/>
          <w:i w:val="false"/>
          <w:color w:val="000000"/>
          <w:sz w:val="21"/>
        </w:rPr>
        <w:t>[Filed ARC 6984C</w:t>
      </w:r>
      <w:r>
        <w:rPr>
          <w:rFonts w:ascii="Times New Roman" w:hAnsi="Times New Roman"/>
          <w:b w:val="false"/>
          <w:i w:val="false"/>
          <w:color w:val="000000"/>
          <w:sz w:val="21"/>
        </w:rPr>
        <w:t xml:space="preserve"> (Notice ARC 6660C, IAB 11/16/22)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7929C</w:t>
      </w:r>
      <w:r>
        <w:rPr>
          <w:rFonts w:ascii="Times New Roman" w:hAnsi="Times New Roman"/>
          <w:b w:val="false"/>
          <w:i w:val="false"/>
          <w:color w:val="000000"/>
          <w:sz w:val="21"/>
        </w:rPr>
        <w:t xml:space="preserve"> (Notice ARC 7554C, IAB 1/24/24)</w:t>
      </w:r>
      <w:r>
        <w:rPr>
          <w:rFonts w:ascii="Times New Roman" w:hAnsi="Times New Roman"/>
          <w:b w:val="false"/>
          <w:i w:val="false"/>
          <w:color w:val="000000"/>
          <w:sz w:val="21"/>
        </w:rPr>
        <w:t>, IAB 5/1/24, effective 6/5/24]</w:t>
      </w:r>
    </w:p>
    <w:p>
      <w:pPr>
        <w:spacing w:before="0" w:after="0"/>
        <w:ind w:left="120"/>
        <w:jc w:val="center"/>
      </w:pPr>
      <w:r>
        <w:rPr>
          <w:rFonts w:ascii="Times New Roman" w:hAnsi="Times New Roman"/>
          <w:b w:val="false"/>
          <w:i w:val="false"/>
          <w:color w:val="000000"/>
          <w:sz w:val="21"/>
        </w:rPr>
        <w:t>[Editorial change: IAC Supplement 9/18/24]</w:t>
      </w:r>
    </w:p>
    <w:p>
      <w:pPr>
        <w:spacing w:before="0" w:after="0"/>
        <w:ind w:left="120"/>
        <w:jc w:val="center"/>
      </w:pPr>
      <w:r>
        <w:rPr>
          <w:rFonts w:ascii="Times New Roman" w:hAnsi="Times New Roman"/>
          <w:b w:val="false"/>
          <w:i w:val="false"/>
          <w:color w:val="000000"/>
          <w:sz w:val="21"/>
        </w:rPr>
        <w:t>[Filed ARC 9400C</w:t>
      </w:r>
      <w:r>
        <w:rPr>
          <w:rFonts w:ascii="Times New Roman" w:hAnsi="Times New Roman"/>
          <w:b w:val="false"/>
          <w:i w:val="false"/>
          <w:color w:val="000000"/>
          <w:sz w:val="21"/>
        </w:rPr>
        <w:t xml:space="preserve"> (Notice ARC 9091C, IAB 4/16/25)</w:t>
      </w:r>
      <w:r>
        <w:rPr>
          <w:rFonts w:ascii="Times New Roman" w:hAnsi="Times New Roman"/>
          <w:b w:val="false"/>
          <w:i w:val="false"/>
          <w:color w:val="000000"/>
          <w:sz w:val="21"/>
        </w:rPr>
        <w:t>, IAB 7/9/25, effective 8/13/25]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47.pdf" Type="http://schemas.openxmlformats.org/officeDocument/2006/relationships/hyperlink" Id="rId5"/>
    <Relationship TargetMode="External" Target="https://www.legis.iowa.gov/docs/ico/chapter/272C.1.pdf" Type="http://schemas.openxmlformats.org/officeDocument/2006/relationships/hyperlink" Id="rId6"/>
    <Relationship TargetMode="External" Target="https://www.legis.iowa.gov/docs/ico/chapter/272C.2.pdf" Type="http://schemas.openxmlformats.org/officeDocument/2006/relationships/hyperlink" Id="rId7"/>
    <Relationship TargetMode="External" Target="https://www.legis.iowa.gov/docs/ico/chapter/152D.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