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844</w:t>
      </w:r>
    </w:p>
    <w:p>
      <w:pPr>
        <w:spacing w:before="0" w:after="0"/>
        <w:ind w:left="120"/>
        <w:jc w:val="center"/>
      </w:pPr>
      <w:r>
        <w:rPr>
          <w:rFonts w:ascii="Times New Roman" w:hAnsi="Times New Roman"/>
          <w:b w:val="false"/>
          <w:i w:val="false"/>
          <w:color w:val="000000"/>
          <w:sz w:val="21"/>
        </w:rPr>
        <w:t>CONTINUING EDUCATION FOR CHIROPRACTIC PHYSICIANS</w:t>
      </w:r>
    </w:p>
    <w:p>
      <w:pPr>
        <w:spacing w:before="0" w:after="0"/>
        <w:ind w:left="120"/>
        <w:jc w:val="center"/>
      </w:pPr>
      <w:r>
        <w:rPr>
          <w:rFonts w:ascii="Times New Roman" w:hAnsi="Times New Roman"/>
          <w:b w:val="false"/>
          <w:i w:val="false"/>
          <w:color w:val="000000"/>
          <w:sz w:val="14"/>
        </w:rPr>
        <w:t>[Prior to 7/24/02, see 645—Ch 43]</w:t>
      </w:r>
    </w:p>
    <w:p>
      <w:pPr>
        <w:spacing w:before="0" w:after="0"/>
        <w:ind w:left="120"/>
        <w:jc w:val="center"/>
      </w:pPr>
      <w:r>
        <w:rPr>
          <w:rFonts w:ascii="Times New Roman" w:hAnsi="Times New Roman"/>
          <w:b w:val="false"/>
          <w:i w:val="false"/>
          <w:color w:val="000000"/>
          <w:sz w:val="14"/>
        </w:rPr>
        <w:t>[Prior to 9/18/24, see Professional Licensure Division[645]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481—844.1</w:t>
      </w:r>
      <w:r>
        <w:rPr>
          <w:rFonts w:ascii="Times New Roman" w:hAnsi="Times New Roman"/>
          <w:b/>
          <w:i w:val="false"/>
          <w:color w:val="000000"/>
          <w:sz w:val="22"/>
        </w:rPr>
        <w:t xml:space="preserve">(151)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case management” </w:t>
      </w:r>
      <w:r>
        <w:rPr>
          <w:rFonts w:ascii="Times New Roman" w:hAnsi="Times New Roman"/>
          <w:b w:val="false"/>
          <w:i w:val="false"/>
          <w:color w:val="000000"/>
          <w:sz w:val="22"/>
        </w:rPr>
        <w:t>means coursework pertaining to diagnosis, treatment, and appropriate referral or coordination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meeting the standards set forth in these rules, acquired during licensure, and designed to maintain, improve, or expand a licensee’s knowledge and skills in order for the licensee to develop new knowledge and skills relevant to the enhancement of chiropractic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 and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 chiropractic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chiropractic physician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each even-numbered year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Continuing education is not required in the first renewal period with the exception of two hours in the content areas of 481—Chapters 841 through 846 and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Continuing education hours acquired any time from the initial licensing until the second license renewal, with the exception of two hours in the content areas of 481—Chapters 841 through 846 and Iowa Code chapter </w:t>
      </w:r>
      <w:hyperlink r:id="rId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may be used after the first renewal period.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will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844.2(4)</w:t>
      </w:r>
      <w:r>
        <w:rPr>
          <w:rFonts w:ascii="Times New Roman" w:hAnsi="Times New Roman"/>
          <w:b w:val="false"/>
          <w:i w:val="false"/>
          <w:color w:val="000000"/>
          <w:sz w:val="22"/>
        </w:rPr>
        <w:t> </w:t>
      </w:r>
      <w:r>
        <w:rPr>
          <w:rFonts w:ascii="Times New Roman" w:hAnsi="Times New Roman"/>
          <w:b w:val="false"/>
          <w:i w:val="false"/>
          <w:color w:val="000000"/>
          <w:sz w:val="22"/>
        </w:rPr>
        <w:t xml:space="preserve">Up to 50 percent of continuing education hours can be carried over into the next biennium if there was an amount of continuing education completed during the prior period that exceeded the minimum requirement. A licensee whose license is reactivated during the current renewal compliance period may use continuing education earned during the compliance period for the first renewal following reactivation. The continuing education required in subparagraphs </w:t>
      </w:r>
      <w:hyperlink r:id="rId7">
        <w:r>
          <w:rPr>
            <w:rStyle w:val="Hyperlink"/>
            <w:rFonts w:ascii="Times New Roman" w:hAnsi="Times New Roman"/>
            <w:b w:val="false"/>
            <w:i w:val="false"/>
            <w:color w:val="000000"/>
            <w:sz w:val="22"/>
          </w:rPr>
          <w:t>844.3(2)</w:t>
        </w:r>
      </w:hyperlink>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(4), and </w:t>
      </w:r>
      <w:r>
        <w:rPr>
          <w:rFonts w:ascii="Times New Roman" w:hAnsi="Times New Roman"/>
          <w:b w:val="false"/>
          <w:i/>
          <w:color w:val="000000"/>
          <w:sz w:val="22"/>
        </w:rPr>
        <w:t>“a”</w:t>
      </w:r>
      <w:r>
        <w:rPr>
          <w:rFonts w:ascii="Times New Roman" w:hAnsi="Times New Roman"/>
          <w:b w:val="false"/>
          <w:i w:val="false"/>
          <w:color w:val="000000"/>
          <w:sz w:val="22"/>
        </w:rPr>
        <w:t>(5) must be completed each biennium and cannot be carried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481—844.3</w:t>
      </w:r>
      <w:r>
        <w:rPr>
          <w:rFonts w:ascii="Times New Roman" w:hAnsi="Times New Roman"/>
          <w:b/>
          <w:i w:val="false"/>
          <w:color w:val="000000"/>
          <w:sz w:val="22"/>
        </w:rPr>
        <w:t xml:space="preserve">(151,272C)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clock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will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36 hours of continuing education credit obtained from a program that directly relates to clinical case management of chiropractic patients. At least 20 of these hours will be earned by completing a program in which an instructor conducts the class by employing a traditional in-person, classroom-type presentation and the licensee is in attendance in the same room as that instructor. The remaining 16 hours of continuing education credit relating to clinical case management of chiropractic patients may be obtained by independent study, including any online instruction, that complies with conditions specified in subrule </w:t>
      </w:r>
      <w:r>
        <w:rPr>
          <w:rFonts w:ascii="Times New Roman" w:hAnsi="Times New Roman"/>
          <w:b w:val="false"/>
          <w:i w:val="false"/>
          <w:color w:val="000000"/>
          <w:sz w:val="22"/>
        </w:rPr>
        <w:t>844.3(1)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two hours per biennium in professional boundaries regarding ethical issues related to professional conduct that may include but are not limited to sexual harassment, sensitivity training and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12 hours per biennium of continuing education in the field of acupuncture is required for licensees certified in acupuncture and may be used toward clinical case management if the chiropractic physician is actively engaged in the practice of acupuncture. Chiropractic physicians not engaged in the active practice of acupuncture may take continuing education hours in the field of acupuncture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Classes on child abuse and dependent adult abuse that meet the criteria in 481—subrules </w:t>
      </w:r>
      <w:hyperlink r:id="rId8">
        <w:r>
          <w:rPr>
            <w:rStyle w:val="Hyperlink"/>
            <w:rFonts w:ascii="Times New Roman" w:hAnsi="Times New Roman"/>
            <w:b w:val="false"/>
            <w:i w:val="false"/>
            <w:color w:val="000000"/>
            <w:sz w:val="22"/>
          </w:rPr>
          <w:t>841.8(4)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844.3(1)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Two hours of continuing education credit is required in the first biennial renewal period and one hour every biennial renewal period after that in the content areas of the administrative rules related to chiropractic physicians in Iowa, found at 481—Chapters 841 through 846 and the statutory provisions specific to the practice of chiropractic in Iowa Code chapter </w:t>
      </w:r>
      <w:hyperlink r:id="rId1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Teaching at a Council on Chiropractic Education (CCE)-approved program or board of chiropractic-approved institution. A maximum of 15 hours per biennium may be obtained for each course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programs/activities or independent study programs/activities that have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Presenting a continuing education program once per biennium for the initial presentation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 program provided by a CCE-accredited chiropractic college in the United States, the Iowa Chiropractic Society, American Chiropractic Association or International Chiropractors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continuing education courses/programs that are certified by the Providers of Approved Continuing Education (PACE) through the Federation of Chiropractic Licensing Boards (FCLB).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Proctoring at the NBCE examination. Fifteen hours of continuing education hours per NBCE examination event may be claimed up to a maximum of 30 hours of continuing education credit per biennium. The proctoring hours may apply toward the clinical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may not be obtained by completing or teaching classes in basic anatomy and physiology or undergraduate level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presenters. </w:t>
      </w:r>
      <w:r>
        <w:rPr>
          <w:rFonts w:ascii="Times New Roman" w:hAnsi="Times New Roman"/>
          <w:b w:val="false"/>
          <w:i w:val="false"/>
          <w:color w:val="000000"/>
          <w:sz w:val="22"/>
        </w:rPr>
        <w:t>All instructors/presenters of a continuing education activity must include, as part of the continuing education activity, verbal and written statements to the participants regarding any affiliations or employment relationships with any entity promoting, developing or marketing products, services, procedures or treatment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11/6/03, Notice 7/23/03—published 11/26/03, effective 12/31/03]</w:t>
      </w:r>
    </w:p>
    <w:p>
      <w:pPr>
        <w:spacing w:before="0" w:after="0"/>
        <w:ind w:left="120"/>
        <w:jc w:val="center"/>
      </w:pPr>
      <w:r>
        <w:rPr>
          <w:rFonts w:ascii="Times New Roman" w:hAnsi="Times New Roman"/>
          <w:b w:val="false"/>
          <w:i w:val="false"/>
          <w:color w:val="000000"/>
          <w:sz w:val="21"/>
        </w:rPr>
        <w:t>[Filed emergency 5/14/04—published 6/9/04, effective 5/14/04]</w:t>
      </w:r>
    </w:p>
    <w:p>
      <w:pPr>
        <w:spacing w:before="0" w:after="0"/>
        <w:ind w:left="120"/>
        <w:jc w:val="center"/>
      </w:pPr>
      <w:r>
        <w:rPr>
          <w:rFonts w:ascii="Times New Roman" w:hAnsi="Times New Roman"/>
          <w:b w:val="false"/>
          <w:i w:val="false"/>
          <w:color w:val="000000"/>
          <w:sz w:val="21"/>
        </w:rPr>
        <w:t>[Filed 7/14/05, Notice 5/25/05—published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0211C</w:t>
      </w:r>
      <w:r>
        <w:rPr>
          <w:rFonts w:ascii="Times New Roman" w:hAnsi="Times New Roman"/>
          <w:b w:val="false"/>
          <w:i w:val="false"/>
          <w:color w:val="000000"/>
          <w:sz w:val="21"/>
        </w:rPr>
        <w:t xml:space="preserve"> (Notice ARC 0010C, IAB 2/22/12)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1201C</w:t>
      </w:r>
      <w:r>
        <w:rPr>
          <w:rFonts w:ascii="Times New Roman" w:hAnsi="Times New Roman"/>
          <w:b w:val="false"/>
          <w:i w:val="false"/>
          <w:color w:val="000000"/>
          <w:sz w:val="21"/>
        </w:rPr>
        <w:t xml:space="preserve"> (Notice ARC 1012C,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3962C</w:t>
      </w:r>
      <w:r>
        <w:rPr>
          <w:rFonts w:ascii="Times New Roman" w:hAnsi="Times New Roman"/>
          <w:b w:val="false"/>
          <w:i w:val="false"/>
          <w:color w:val="000000"/>
          <w:sz w:val="21"/>
        </w:rPr>
        <w:t xml:space="preserve"> (Notice ARC 3774C, IAB 5/9/18)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7969C</w:t>
      </w:r>
      <w:r>
        <w:rPr>
          <w:rFonts w:ascii="Times New Roman" w:hAnsi="Times New Roman"/>
          <w:b w:val="false"/>
          <w:i w:val="false"/>
          <w:color w:val="000000"/>
          <w:sz w:val="21"/>
        </w:rPr>
        <w:t xml:space="preserve"> (Notice ARC 7466C,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9218C</w:t>
      </w:r>
      <w:r>
        <w:rPr>
          <w:rFonts w:ascii="Times New Roman" w:hAnsi="Times New Roman"/>
          <w:b w:val="false"/>
          <w:i w:val="false"/>
          <w:color w:val="000000"/>
          <w:sz w:val="21"/>
        </w:rPr>
        <w:t xml:space="preserve"> (Notice ARC 8956C, IAB 2/19/25)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pdf" Type="http://schemas.openxmlformats.org/officeDocument/2006/relationships/hyperlink" Id="rId6"/>
    <Relationship TargetMode="External" Target="https://www.legis.iowa.gov/docs/iac/rule/481.844.3.pdf" Type="http://schemas.openxmlformats.org/officeDocument/2006/relationships/hyperlink" Id="rId7"/>
    <Relationship TargetMode="External" Target="https://www.legis.iowa.gov/docs/iac/rule/481.841.8.pdf" Type="http://schemas.openxmlformats.org/officeDocument/2006/relationships/hyperlink" Id="rId8"/>
    <Relationship TargetMode="External" Target="https://www.legis.iowa.gov/docs/iac/rule/481.844.3.pdf" Type="http://schemas.openxmlformats.org/officeDocument/2006/relationships/hyperlink" Id="rId9"/>
    <Relationship TargetMode="External" Target="https://www.legis.iowa.gov/docs/ico/chapter/151.pdf" Type="http://schemas.openxmlformats.org/officeDocument/2006/relationships/hyperlink" Id="rId10"/>
    <Relationship TargetMode="External" Target="https://www.legis.iowa.gov/docs/ico/chapter/272C.2.pdf" Type="http://schemas.openxmlformats.org/officeDocument/2006/relationships/hyperlink" Id="rId11"/>
    <Relationship TargetMode="External" Target="https://www.legis.iowa.gov/docs/ico/chapter/15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