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823</w:t>
      </w:r>
    </w:p>
    <w:p>
      <w:pPr>
        <w:spacing w:before="0" w:after="0"/>
        <w:ind w:left="120"/>
        <w:jc w:val="center"/>
      </w:pPr>
      <w:r>
        <w:rPr>
          <w:rFonts w:ascii="Times New Roman" w:hAnsi="Times New Roman"/>
          <w:b w:val="false"/>
          <w:i w:val="false"/>
          <w:color w:val="000000"/>
          <w:sz w:val="21"/>
        </w:rPr>
        <w:t>CONTINUING EDUCATION FOR MASSAGE THERAPISTS</w:t>
      </w:r>
    </w:p>
    <w:p>
      <w:pPr>
        <w:spacing w:before="0" w:after="0"/>
        <w:ind w:left="120"/>
        <w:jc w:val="center"/>
      </w:pPr>
      <w:r>
        <w:rPr>
          <w:rFonts w:ascii="Times New Roman" w:hAnsi="Times New Roman"/>
          <w:b w:val="false"/>
          <w:i w:val="false"/>
          <w:color w:val="000000"/>
          <w:sz w:val="14"/>
        </w:rPr>
        <w:t>[Prior to 6/26/02, see 645—Ch 132]</w:t>
      </w:r>
    </w:p>
    <w:p>
      <w:pPr>
        <w:spacing w:before="0" w:after="0"/>
        <w:ind w:left="120"/>
        <w:jc w:val="center"/>
      </w:pPr>
      <w:r>
        <w:rPr>
          <w:rFonts w:ascii="Times New Roman" w:hAnsi="Times New Roman"/>
          <w:b w:val="false"/>
          <w:i w:val="false"/>
          <w:color w:val="000000"/>
          <w:sz w:val="14"/>
        </w:rPr>
        <w:t>[Prior to 9/18/24, see Professional Licensure Division[645] Ch 133]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7/17/29</w:t>
      </w:r>
    </w:p>
    <w:p>
      <w:pPr>
        <w:spacing w:before="0" w:after="0"/>
        <w:ind w:left="120"/>
        <w:jc w:val="both"/>
      </w:pPr>
      <w:r>
        <w:rPr>
          <w:rFonts w:ascii="Times New Roman" w:hAnsi="Times New Roman"/>
          <w:b/>
          <w:i w:val="false"/>
          <w:color w:val="000000"/>
          <w:sz w:val="22"/>
        </w:rPr>
        <w:t>481—823.1</w:t>
      </w:r>
      <w:r>
        <w:rPr>
          <w:rFonts w:ascii="Times New Roman" w:hAnsi="Times New Roman"/>
          <w:b/>
          <w:i w:val="false"/>
          <w:color w:val="000000"/>
          <w:sz w:val="22"/>
        </w:rPr>
        <w:t xml:space="preserve">(152C)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 or the selection of providers for verification of adherence to continuing education provider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massage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initial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“Hands-on training” </w:t>
      </w:r>
      <w:r>
        <w:rPr>
          <w:rFonts w:ascii="Times New Roman" w:hAnsi="Times New Roman"/>
          <w:b w:val="false"/>
          <w:i w:val="false"/>
          <w:color w:val="000000"/>
          <w:sz w:val="22"/>
        </w:rPr>
        <w:t>means learning techniques that manipulate the soft tissue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 xml:space="preserve">means a license that has expired because it was not renewed by the end of the grace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massage therapist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“Presenter” </w:t>
      </w:r>
      <w:r>
        <w:rPr>
          <w:rFonts w:ascii="Times New Roman" w:hAnsi="Times New Roman"/>
          <w:b w:val="false"/>
          <w:i w:val="false"/>
          <w:color w:val="000000"/>
          <w:sz w:val="22"/>
        </w:rPr>
        <w:t>means person(s)/instructor(s) providing continuing education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481—823.2</w:t>
      </w:r>
      <w:r>
        <w:rPr>
          <w:rFonts w:ascii="Times New Roman" w:hAnsi="Times New Roman"/>
          <w:b/>
          <w:i w:val="false"/>
          <w:color w:val="000000"/>
          <w:sz w:val="22"/>
        </w:rPr>
        <w:t xml:space="preserve">(152C) </w:t>
      </w:r>
      <w:r>
        <w:rPr>
          <w:rFonts w:ascii="Times New Roman" w:hAnsi="Times New Roman"/>
          <w:b/>
          <w:i w:val="false"/>
          <w:color w:val="000000"/>
          <w:sz w:val="22"/>
        </w:rPr>
        <w:t xml:space="preserve">Continuing education requirements. </w:t>
      </w:r>
      <w:r>
        <w:rPr>
          <w:rFonts w:ascii="Times New Roman" w:hAnsi="Times New Roman"/>
          <w:b w:val="false"/>
          <w:i w:val="false"/>
          <w:color w:val="000000"/>
          <w:sz w:val="22"/>
        </w:rPr>
        <w:t>Each biennium, each person who is licensed to practice as a massage therapist in this state shall be required to complete a minimum of 16 hours of continuing education. A biennium is a two-year period beginning with the date the license was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runs concurrently with each two-year renewal period. The renewal period begins on the date the initial license is granted and ends two years later on the day before the anniversary date of that initial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are not required to complete continuing education as a prerequisite for the first renewal of their licenses. Continuing education hours acquired anytime from the initial licensing until the second license renewal period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meeting the requirements of this chapter.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Licensees may apply a maximum of eight hours from the previous renewal period.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823.2(5)</w:t>
      </w:r>
      <w:r>
        <w:rPr>
          <w:rFonts w:ascii="Times New Roman" w:hAnsi="Times New Roman"/>
          <w:b w:val="false"/>
          <w:i w:val="false"/>
          <w:color w:val="000000"/>
          <w:sz w:val="22"/>
        </w:rPr>
        <w:t> </w:t>
      </w:r>
      <w:r>
        <w:rPr>
          <w:rFonts w:ascii="Times New Roman" w:hAnsi="Times New Roman"/>
          <w:b w:val="false"/>
          <w:i w:val="false"/>
          <w:color w:val="000000"/>
          <w:sz w:val="22"/>
        </w:rPr>
        <w:t>The cost of continuing education is the responsibility of each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9107C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481—823.3</w:t>
      </w:r>
      <w:r>
        <w:rPr>
          <w:rFonts w:ascii="Times New Roman" w:hAnsi="Times New Roman"/>
          <w:b/>
          <w:i w:val="false"/>
          <w:color w:val="000000"/>
          <w:sz w:val="22"/>
        </w:rPr>
        <w:t xml:space="preserve">(152C,272C) </w:t>
      </w:r>
      <w:r>
        <w:rPr>
          <w:rFonts w:ascii="Times New Roman" w:hAnsi="Times New Roman"/>
          <w:b/>
          <w:i w:val="false"/>
          <w:color w:val="000000"/>
          <w:sz w:val="22"/>
        </w:rPr>
        <w:t xml:space="preserve">Continuing education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from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823.3(2)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A licensee shall obtain a minimum of 16 hours of continuing education credit every two years. A minimum of 8 hours of the 16 hours must be earned by completing a program in which instruction is provided in person or through live, real-time interactive media. Although in-person continuing education instruction is not required, the board strongly encourages all licensees to obtain in-person instruction whenever feasible, especially when learning new techniques. Licensees may obtain continuing education hours of credit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Attending workshops, conferences, or symposiums.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Accessing online training, such as viewing interactive conferences, attending webinars, or completing online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Teaching curriculum at a school of massage therapy or presenting professional continuing education programs that meet the criteria listed in this subrule. One hour of credit will be awarded for each hour of presentation. A course schedule or brochure must be maintained for audit. A maximum of 4 hours may be awarded under this paragraph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Completing academic courses that directly relate to the professional competency of the licensee. Official transcripts indicating successful completion of academic courses that apply to the field of massage therapy will be necessary in order for the licensee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1 academic clock hour = 1 continuing education hour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Teaching in an approved college, university, or graduate school. The licensee may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Authoring research the results of which are published in a recognized professional publication. The licensee will receive 5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Taking courses directly beneficial to business practices necessary for operating a massage practice. Content areas include, but are not limited to, business management, financial management, accounting, tax preparation, marketing, human relations, communication skills, business ethics, and massage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Taking courses related to personal skills topics, such as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programs that enhance a supplemental or complementary skill set directly related to promoting the public health while providing massage therapy. Content areas include, but are not limited to, CPR, first aid, contraindication training, sanitation, and geriatric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mandatory reporter training pursuant to Iowa Code sections </w:t>
      </w:r>
      <w:hyperlink r:id="rId5">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 One hour of credit will be awarded for each hour of completed mandatory reporter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Passing a board-approved national examination administered by the Federation of State Massage Therapy Boards or the National Certification Board for Therapeutic Massage and Bodywork within the biennial continuing education compliance period. A copy of the applicant’s official notification may be used by the board as verification.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8053C</w:t>
      </w:r>
      <w:r>
        <w:rPr>
          <w:rFonts w:ascii="Times New Roman" w:hAnsi="Times New Roman"/>
          <w:b w:val="false"/>
          <w:i w:val="false"/>
          <w:color w:val="000000"/>
          <w:sz w:val="16"/>
        </w:rPr>
        <w:t>, IAB 6/12/24, effective 7/17/24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9/15/00, Notice 6/28/00—published 10/4/00, effective 11/8/00]</w:t>
      </w:r>
    </w:p>
    <w:p>
      <w:pPr>
        <w:spacing w:before="0" w:after="0"/>
        <w:ind w:left="120"/>
        <w:jc w:val="center"/>
      </w:pPr>
      <w:r>
        <w:rPr>
          <w:rFonts w:ascii="Times New Roman" w:hAnsi="Times New Roman"/>
          <w:b w:val="false"/>
          <w:i w:val="false"/>
          <w:color w:val="000000"/>
          <w:sz w:val="21"/>
        </w:rPr>
        <w:t>[Filed 6/5/02, Notice 1/23/02—published 6/26/02, effective 7/31/02]</w:t>
      </w:r>
    </w:p>
    <w:p>
      <w:pPr>
        <w:spacing w:before="0" w:after="0"/>
        <w:ind w:left="120"/>
        <w:jc w:val="center"/>
      </w:pPr>
      <w:r>
        <w:rPr>
          <w:rFonts w:ascii="Times New Roman" w:hAnsi="Times New Roman"/>
          <w:b w:val="false"/>
          <w:i w:val="false"/>
          <w:color w:val="000000"/>
          <w:sz w:val="21"/>
        </w:rPr>
        <w:t>[Filed 7/3/03, Notice 4/16/03—published 7/23/03, effective 8/27/03]</w:t>
      </w:r>
    </w:p>
    <w:p>
      <w:pPr>
        <w:spacing w:before="0" w:after="0"/>
        <w:ind w:left="120"/>
        <w:jc w:val="center"/>
      </w:pPr>
      <w:r>
        <w:rPr>
          <w:rFonts w:ascii="Times New Roman" w:hAnsi="Times New Roman"/>
          <w:b w:val="false"/>
          <w:i w:val="false"/>
          <w:color w:val="000000"/>
          <w:sz w:val="21"/>
        </w:rPr>
        <w:t>[Filed 6/15/05, Notice 4/27/05—published 7/6/05, effective 8/10/05]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3/14/07, Notice 1/3/07—published 4/11/07, effective 5/16/07]</w:t>
      </w:r>
    </w:p>
    <w:p>
      <w:pPr>
        <w:spacing w:before="0" w:after="0"/>
        <w:ind w:left="120"/>
        <w:jc w:val="center"/>
      </w:pPr>
      <w:r>
        <w:rPr>
          <w:rFonts w:ascii="Times New Roman" w:hAnsi="Times New Roman"/>
          <w:b w:val="false"/>
          <w:i w:val="false"/>
          <w:color w:val="000000"/>
          <w:sz w:val="21"/>
        </w:rPr>
        <w:t>[Filed 9/7/07, Notice 7/4/07—published 9/26/07, effective 10/31/07]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2778C</w:t>
      </w:r>
      <w:r>
        <w:rPr>
          <w:rFonts w:ascii="Times New Roman" w:hAnsi="Times New Roman"/>
          <w:b w:val="false"/>
          <w:i w:val="false"/>
          <w:color w:val="000000"/>
          <w:sz w:val="21"/>
        </w:rPr>
        <w:t xml:space="preserve"> (Notice ARC 2503C, IAB 4/27/16)</w:t>
      </w:r>
      <w:r>
        <w:rPr>
          <w:rFonts w:ascii="Times New Roman" w:hAnsi="Times New Roman"/>
          <w:b w:val="false"/>
          <w:i w:val="false"/>
          <w:color w:val="000000"/>
          <w:sz w:val="21"/>
        </w:rPr>
        <w:t>, IAB 10/26/16, effective 11/30/16]</w:t>
      </w:r>
    </w:p>
    <w:p>
      <w:pPr>
        <w:spacing w:before="0" w:after="0"/>
        <w:ind w:left="120"/>
        <w:jc w:val="center"/>
      </w:pPr>
      <w:r>
        <w:rPr>
          <w:rFonts w:ascii="Times New Roman" w:hAnsi="Times New Roman"/>
          <w:b w:val="false"/>
          <w:i w:val="false"/>
          <w:color w:val="000000"/>
          <w:sz w:val="21"/>
        </w:rPr>
        <w:t>[Filed ARC 6827C</w:t>
      </w:r>
      <w:r>
        <w:rPr>
          <w:rFonts w:ascii="Times New Roman" w:hAnsi="Times New Roman"/>
          <w:b w:val="false"/>
          <w:i w:val="false"/>
          <w:color w:val="000000"/>
          <w:sz w:val="21"/>
        </w:rPr>
        <w:t xml:space="preserve"> (Notice ARC 6597C, IAB 10/19/22)</w:t>
      </w:r>
      <w:r>
        <w:rPr>
          <w:rFonts w:ascii="Times New Roman" w:hAnsi="Times New Roman"/>
          <w:b w:val="false"/>
          <w:i w:val="false"/>
          <w:color w:val="000000"/>
          <w:sz w:val="21"/>
        </w:rPr>
        <w:t>, IAB 1/25/23, effective 3/1/23]</w:t>
      </w:r>
    </w:p>
    <w:p>
      <w:pPr>
        <w:spacing w:before="0" w:after="0"/>
        <w:ind w:left="120"/>
        <w:jc w:val="center"/>
      </w:pPr>
      <w:r>
        <w:rPr>
          <w:rFonts w:ascii="Times New Roman" w:hAnsi="Times New Roman"/>
          <w:b w:val="false"/>
          <w:i w:val="false"/>
          <w:color w:val="000000"/>
          <w:sz w:val="21"/>
        </w:rPr>
        <w:t>[Filed ARC 6992C</w:t>
      </w:r>
      <w:r>
        <w:rPr>
          <w:rFonts w:ascii="Times New Roman" w:hAnsi="Times New Roman"/>
          <w:b w:val="false"/>
          <w:i w:val="false"/>
          <w:color w:val="000000"/>
          <w:sz w:val="21"/>
        </w:rPr>
        <w:t xml:space="preserve"> (Notice ARC 6650C,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8053C</w:t>
      </w:r>
      <w:r>
        <w:rPr>
          <w:rFonts w:ascii="Times New Roman" w:hAnsi="Times New Roman"/>
          <w:b w:val="false"/>
          <w:i w:val="false"/>
          <w:color w:val="000000"/>
          <w:sz w:val="21"/>
        </w:rPr>
        <w:t xml:space="preserve"> (Notice ARC 7481C, IAB 1/10/24)</w:t>
      </w:r>
      <w:r>
        <w:rPr>
          <w:rFonts w:ascii="Times New Roman" w:hAnsi="Times New Roman"/>
          <w:b w:val="false"/>
          <w:i w:val="false"/>
          <w:color w:val="000000"/>
          <w:sz w:val="21"/>
        </w:rPr>
        <w:t>, IAB 6/12/24, effective 7/17/24]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9107C</w:t>
      </w:r>
      <w:r>
        <w:rPr>
          <w:rFonts w:ascii="Times New Roman" w:hAnsi="Times New Roman"/>
          <w:b w:val="false"/>
          <w:i w:val="false"/>
          <w:color w:val="000000"/>
          <w:sz w:val="21"/>
        </w:rPr>
        <w:t xml:space="preserve"> (Notice ARC 8790C, IAB 1/8/25)</w:t>
      </w:r>
      <w:r>
        <w:rPr>
          <w:rFonts w:ascii="Times New Roman" w:hAnsi="Times New Roman"/>
          <w:b w:val="false"/>
          <w:i w:val="false"/>
          <w:color w:val="000000"/>
          <w:sz w:val="21"/>
        </w:rPr>
        <w:t>, IAB 4/16/25, effective 5/21/25]</w:t>
      </w:r>
    </w:p>
    <w:p>
      <w:pPr>
        <w:pBdr>
          <w:bottom w:space="2"/>
        </w:pBdr>
        <w:spacing w:before="0" w:after="0"/>
        <w:ind w:left="120"/>
        <w:jc w:val="both"/>
      </w:pPr>
      <w:r>
        <w:rPr>
          <w:rFonts w:ascii="Times New Roman" w:hAnsi="Times New Roman"/>
          <w:b w:val="false"/>
          <w:i w:val="false"/>
          <w:color w:val="000000"/>
          <w:sz w:val="22"/>
        </w:rPr>
        <w:t>Two or more ARCs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9.pdf" Type="http://schemas.openxmlformats.org/officeDocument/2006/relationships/hyperlink" Id="rId5"/>
    <Relationship TargetMode="External" Target="https://www.legis.iowa.gov/docs/ico/chapter/235B.16.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C.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