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BOARD OF MASSAGE THERAPY</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821</w:t>
      </w:r>
    </w:p>
    <w:p>
      <w:pPr>
        <w:spacing w:before="0" w:after="0"/>
        <w:ind w:left="120"/>
        <w:jc w:val="center"/>
      </w:pPr>
      <w:r>
        <w:rPr>
          <w:rFonts w:ascii="Times New Roman" w:hAnsi="Times New Roman"/>
          <w:b w:val="false"/>
          <w:i w:val="false"/>
          <w:color w:val="000000"/>
          <w:sz w:val="21"/>
        </w:rPr>
        <w:t xml:space="preserve">LICENSURE OF MASSAGE THERAPISTS </w:t>
      </w:r>
    </w:p>
    <w:p>
      <w:pPr>
        <w:spacing w:before="0" w:after="0"/>
        <w:ind w:left="120"/>
        <w:jc w:val="center"/>
      </w:pPr>
      <w:r>
        <w:rPr>
          <w:rFonts w:ascii="Times New Roman" w:hAnsi="Times New Roman"/>
          <w:b w:val="false"/>
          <w:i w:val="false"/>
          <w:color w:val="000000"/>
          <w:sz w:val="14"/>
        </w:rPr>
        <w:t>[Prior to 6/26/02, see 645—130.4(152C) and 645—130.6(152C)]</w:t>
      </w:r>
    </w:p>
    <w:p>
      <w:pPr>
        <w:spacing w:before="0" w:after="0"/>
        <w:ind w:left="120"/>
        <w:jc w:val="center"/>
      </w:pPr>
      <w:r>
        <w:rPr>
          <w:rFonts w:ascii="Times New Roman" w:hAnsi="Times New Roman"/>
          <w:b w:val="false"/>
          <w:i w:val="false"/>
          <w:color w:val="000000"/>
          <w:sz w:val="14"/>
        </w:rPr>
        <w:t>[Prior to 9/18/24, see Professional Licensure Division[645] Ch 131]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7/17/29</w:t>
      </w:r>
    </w:p>
    <w:p>
      <w:pPr>
        <w:spacing w:before="0" w:after="0"/>
        <w:ind w:left="120"/>
        <w:jc w:val="both"/>
      </w:pPr>
      <w:r>
        <w:rPr>
          <w:rFonts w:ascii="Times New Roman" w:hAnsi="Times New Roman"/>
          <w:b/>
          <w:i w:val="false"/>
          <w:color w:val="000000"/>
          <w:sz w:val="22"/>
        </w:rPr>
        <w:t>481—821.1</w:t>
      </w:r>
      <w:r>
        <w:rPr>
          <w:rFonts w:ascii="Times New Roman" w:hAnsi="Times New Roman"/>
          <w:b/>
          <w:i w:val="false"/>
          <w:color w:val="000000"/>
          <w:sz w:val="22"/>
        </w:rPr>
        <w:t xml:space="preserve">(152C)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“Anniversary month” </w:t>
      </w:r>
      <w:r>
        <w:rPr>
          <w:rFonts w:ascii="Times New Roman" w:hAnsi="Times New Roman"/>
          <w:b w:val="false"/>
          <w:i w:val="false"/>
          <w:color w:val="000000"/>
          <w:sz w:val="22"/>
        </w:rPr>
        <w:t xml:space="preserve">means the month the license was issued by the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Iowa board of massage therapy.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“Board-approved school” </w:t>
      </w:r>
      <w:r>
        <w:rPr>
          <w:rFonts w:ascii="Times New Roman" w:hAnsi="Times New Roman"/>
          <w:b w:val="false"/>
          <w:i w:val="false"/>
          <w:color w:val="000000"/>
          <w:sz w:val="22"/>
        </w:rPr>
        <w:t xml:space="preserve">means a school for massage therapy education that provides at least 600 hours of supervised academic instruction; has been recognized as legitimate by the board in the state where the school is located or in the state where the school was located if the school has since closed; has been recognized by a similar board in another jurisdiction that licenses massage therapists if massage therapy is not a licensed profession in the state where the school is located; and has not been denied, suspended, or revoked by the National Certification Board for Therapeutic Massage and Bodywork (NCBTMB).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“Grace period” </w:t>
      </w:r>
      <w:r>
        <w:rPr>
          <w:rFonts w:ascii="Times New Roman" w:hAnsi="Times New Roman"/>
          <w:b w:val="false"/>
          <w:i w:val="false"/>
          <w:color w:val="000000"/>
          <w:sz w:val="22"/>
        </w:rPr>
        <w:t xml:space="preserve">means the 30-day period following expiration of a license when the license is still considered to be active.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“Issuing jurisdiction” </w:t>
      </w:r>
      <w:r>
        <w:rPr>
          <w:rFonts w:ascii="Times New Roman" w:hAnsi="Times New Roman"/>
          <w:b w:val="false"/>
          <w:i w:val="false"/>
          <w:color w:val="000000"/>
          <w:sz w:val="22"/>
        </w:rPr>
        <w:t>means the duly constituted authority in another state that has issued a massage therapy license to a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 xml:space="preserve">means any person licensed to practice as a massage therapist in the state of Iowa.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expiration date” </w:t>
      </w:r>
      <w:r>
        <w:rPr>
          <w:rFonts w:ascii="Times New Roman" w:hAnsi="Times New Roman"/>
          <w:b w:val="false"/>
          <w:i w:val="false"/>
          <w:color w:val="000000"/>
          <w:sz w:val="22"/>
        </w:rPr>
        <w:t xml:space="preserve">means the fifteenth day of the anniversary month every two years.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“Massage therapy” </w:t>
      </w:r>
      <w:r>
        <w:rPr>
          <w:rFonts w:ascii="Times New Roman" w:hAnsi="Times New Roman"/>
          <w:b w:val="false"/>
          <w:i w:val="false"/>
          <w:color w:val="000000"/>
          <w:sz w:val="22"/>
        </w:rPr>
        <w:t xml:space="preserve">means performance for compensation of massage, myotherapy, massotherapy, bodywork, bodywork therapy, or therapeutic massage including hydrotherapy, superficial hot and cold applications, vibration and topical applications, or other therapy that involves manipulation of the muscle and connective tissue of the body, excluding osseous tissue, to treat the muscle tonus system for the purpose of enhancing health, providing muscle relaxation, increasing range of motion, reducing stress, relieving pain, or improving circulation.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8051C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481—821.2</w:t>
      </w:r>
      <w:r>
        <w:rPr>
          <w:rFonts w:ascii="Times New Roman" w:hAnsi="Times New Roman"/>
          <w:b/>
          <w:i w:val="false"/>
          <w:color w:val="000000"/>
          <w:sz w:val="22"/>
        </w:rPr>
        <w:t xml:space="preserve">(272C) </w:t>
      </w:r>
      <w:r>
        <w:rPr>
          <w:rFonts w:ascii="Times New Roman" w:hAnsi="Times New Roman"/>
          <w:b/>
          <w:i w:val="false"/>
          <w:color w:val="000000"/>
          <w:sz w:val="22"/>
        </w:rPr>
        <w:t xml:space="preserve">Licensure by examination. </w:t>
      </w:r>
      <w:r>
        <w:rPr>
          <w:rFonts w:ascii="Times New Roman" w:hAnsi="Times New Roman"/>
          <w:b w:val="false"/>
          <w:i w:val="false"/>
          <w:color w:val="000000"/>
          <w:sz w:val="22"/>
        </w:rPr>
        <w:t xml:space="preserve">A person who has completed the curriculum at a board-approved school may seek licensure in accordance with this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821.2(1)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completed online application for licensure and pay the nonrefundable licensure fee specified in rule </w:t>
      </w:r>
      <w:hyperlink r:id="rId5">
        <w:r>
          <w:rPr>
            <w:rStyle w:val="Hyperlink"/>
            <w:rFonts w:ascii="Times New Roman" w:hAnsi="Times New Roman"/>
            <w:b w:val="false"/>
            <w:i w:val="false"/>
            <w:color w:val="000000"/>
            <w:sz w:val="22"/>
          </w:rPr>
          <w:t>481—507.8</w:t>
        </w:r>
      </w:hyperlink>
      <w:r>
        <w:rPr>
          <w:rFonts w:ascii="Times New Roman" w:hAnsi="Times New Roman"/>
          <w:b w:val="false"/>
          <w:i w:val="false"/>
          <w:color w:val="000000"/>
          <w:sz w:val="22"/>
        </w:rPr>
        <w:t>(147). Official copies of academic transcripts sent directly to the board by the board-approved school. If a school has closed and is no longer operational, the board will accept an official transcript provided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of passing any National Certification Board for Therapeutic Massage and Bodywork (NCBTMB) examination or the Massage and Bodywork Licensing Examination (MBLEx) sent directly from the testing authority to the board. The passing score on the written examination is the passing point criterion established by the testing authority at the time the test was administered.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applicant has been issued one or more licenses to practice massage therapy by other issuing jurisdictions, verification of license from the jurisdiction in which the applicant has most recently been licensed, sent directly from the issuing jurisdiction to the board. Web-based verification may be substituted for verification from the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licensee’s name;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 of initial licensure;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applicant’s current licensure status;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Any disciplinary action taken against the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821.2(2)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has relocated to Iowa from a state that did not require licensure to practice massage therapy may submit proof of work experience in lieu of educational and training requirements, if eligible, in accordance with rule </w:t>
      </w:r>
      <w:hyperlink r:id="rId6">
        <w:r>
          <w:rPr>
            <w:rStyle w:val="Hyperlink"/>
            <w:rFonts w:ascii="Times New Roman" w:hAnsi="Times New Roman"/>
            <w:b w:val="false"/>
            <w:i w:val="false"/>
            <w:color w:val="000000"/>
            <w:sz w:val="22"/>
          </w:rPr>
          <w:t>481—501.2</w:t>
        </w:r>
      </w:hyperlink>
      <w:r>
        <w:rPr>
          <w:rFonts w:ascii="Times New Roman" w:hAnsi="Times New Roman"/>
          <w:b w:val="false"/>
          <w:i w:val="false"/>
          <w:color w:val="000000"/>
          <w:sz w:val="22"/>
        </w:rPr>
        <w:t xml:space="preserve">(272C).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8051C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481—821.3</w:t>
      </w:r>
      <w:r>
        <w:rPr>
          <w:rFonts w:ascii="Times New Roman" w:hAnsi="Times New Roman"/>
          <w:b/>
          <w:i w:val="false"/>
          <w:color w:val="000000"/>
          <w:sz w:val="22"/>
        </w:rPr>
        <w:t xml:space="preserve">(152C) </w:t>
      </w:r>
      <w:r>
        <w:rPr>
          <w:rFonts w:ascii="Times New Roman" w:hAnsi="Times New Roman"/>
          <w:b/>
          <w:i w:val="false"/>
          <w:color w:val="000000"/>
          <w:sz w:val="22"/>
        </w:rPr>
        <w:t xml:space="preserve">Educational qualifications for foreign-trained massage therapists. </w:t>
      </w:r>
      <w:r>
        <w:rPr>
          <w:rFonts w:ascii="Times New Roman" w:hAnsi="Times New Roman"/>
          <w:b w:val="false"/>
          <w:i w:val="false"/>
          <w:color w:val="000000"/>
          <w:sz w:val="22"/>
        </w:rPr>
        <w:t xml:space="preserve">Prospective applicants who completed their education outside of the United States may receive credit for their education, provided they comply with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821.3(1)</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an equivalency evaluation of their educational credentials by one of the following entities demonstrating the curriculum is equivalent to that stated in these rules. The applicant bears the expense of the curriculum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International Education Research Foundation, Inc., Credentials Evaluation Service, P.O. Box 3665, Culver City, CA 90231-3665; telephone 310.258.9451; website </w:t>
      </w:r>
      <w:hyperlink r:id="rId7">
        <w:r>
          <w:rPr>
            <w:rStyle w:val="Hyperlink"/>
            <w:rFonts w:ascii="Times New Roman" w:hAnsi="Times New Roman"/>
            <w:b w:val="false"/>
            <w:i w:val="false"/>
            <w:color w:val="000000"/>
            <w:sz w:val="22"/>
            <w:u w:val="single"/>
          </w:rPr>
          <w:t>www.ierf.org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International Credentialing Associates, Inc., 7245 Bryan Dairy Road, Bryan Dairy Business Park II, Largo, FL 33777; telephone 727.549.8555.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Josef Silny &amp; Associates, Inc., 7101 SW 102nd Avenue, Miami, FL 33173; telephone 305.273.1616; website </w:t>
      </w:r>
      <w:hyperlink r:id="rId8">
        <w:r>
          <w:rPr>
            <w:rStyle w:val="Hyperlink"/>
            <w:rFonts w:ascii="Times New Roman" w:hAnsi="Times New Roman"/>
            <w:b w:val="false"/>
            <w:i w:val="false"/>
            <w:color w:val="000000"/>
            <w:sz w:val="22"/>
            <w:u w:val="single"/>
          </w:rPr>
          <w:t>jsilny.org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821.3(2)</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a notarized copy of the certificate or diploma awarded to the applicant from a massage therapy program in the country in which the applicant was educated.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821.3(3)</w:t>
      </w:r>
      <w:r>
        <w:rPr>
          <w:rFonts w:ascii="Times New Roman" w:hAnsi="Times New Roman"/>
          <w:b w:val="false"/>
          <w:i w:val="false"/>
          <w:color w:val="000000"/>
          <w:sz w:val="22"/>
        </w:rPr>
        <w:t> </w:t>
      </w:r>
      <w:r>
        <w:rPr>
          <w:rFonts w:ascii="Times New Roman" w:hAnsi="Times New Roman"/>
          <w:b w:val="false"/>
          <w:i w:val="false"/>
          <w:color w:val="000000"/>
          <w:sz w:val="22"/>
        </w:rPr>
        <w:t xml:space="preserve">Receive a final determination from the board that the applicant’s education is acceptable.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8051C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481—821.4</w:t>
      </w:r>
      <w:r>
        <w:rPr>
          <w:rFonts w:ascii="Times New Roman" w:hAnsi="Times New Roman"/>
          <w:b/>
          <w:i w:val="false"/>
          <w:color w:val="000000"/>
          <w:sz w:val="22"/>
        </w:rPr>
        <w:t xml:space="preserve">(152C) </w:t>
      </w:r>
      <w:r>
        <w:rPr>
          <w:rFonts w:ascii="Times New Roman" w:hAnsi="Times New Roman"/>
          <w:b/>
          <w:i w:val="false"/>
          <w:color w:val="000000"/>
          <w:sz w:val="22"/>
        </w:rPr>
        <w:t xml:space="preserve">Licensure by endorsement.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821.4(1)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has been issued a license to practice massage therapy by another issuing jurisdiction may seek licensure in accordance with this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821.4(2)</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completed online application for licensure and pay nonrefundable licensure fee specified in rule </w:t>
      </w:r>
      <w:hyperlink r:id="rId9">
        <w:r>
          <w:rPr>
            <w:rStyle w:val="Hyperlink"/>
            <w:rFonts w:ascii="Times New Roman" w:hAnsi="Times New Roman"/>
            <w:b w:val="false"/>
            <w:i w:val="false"/>
            <w:color w:val="000000"/>
            <w:sz w:val="22"/>
          </w:rPr>
          <w:t>481—507.8</w:t>
        </w:r>
      </w:hyperlink>
      <w:r>
        <w:rPr>
          <w:rFonts w:ascii="Times New Roman" w:hAnsi="Times New Roman"/>
          <w:b w:val="false"/>
          <w:i w:val="false"/>
          <w:color w:val="000000"/>
          <w:sz w:val="22"/>
        </w:rPr>
        <w:t>(147).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Official copies of academic transcripts sent directly to the board by the board-approved school. If a school has closed and is no longer operational, the board will accept an official transcript provided by the applicant.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of passing any National Certification Board for Therapeutic Massage and Bodywork (NCBTMB) examination or the Massage and Bodywork Licensing Examination (MBLEx) sent directly from the testing authority to the board. The passing score on the written examination is the passing point criterion established by the testing authority at the time the test was administered.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that the licensure requirements in the issuing jurisdiction are equal to or exceed the requirements provided in rule </w:t>
      </w:r>
      <w:hyperlink r:id="rId10">
        <w:r>
          <w:rPr>
            <w:rStyle w:val="Hyperlink"/>
            <w:rFonts w:ascii="Times New Roman" w:hAnsi="Times New Roman"/>
            <w:b w:val="false"/>
            <w:i w:val="false"/>
            <w:color w:val="000000"/>
            <w:sz w:val="22"/>
          </w:rPr>
          <w:t>481—821.2</w:t>
        </w:r>
      </w:hyperlink>
      <w:r>
        <w:rPr>
          <w:rFonts w:ascii="Times New Roman" w:hAnsi="Times New Roman"/>
          <w:b w:val="false"/>
          <w:i w:val="false"/>
          <w:color w:val="000000"/>
          <w:sz w:val="22"/>
        </w:rPr>
        <w:t xml:space="preserve">(152C).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from the jurisdiction in which the applicant has most recently been licensed, sent directly from the issuing jurisdiction to the board. Web-based verification may be substituted for verification from the issuing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licensee’s name;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 of initial licensure;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applicant’s current licensure status;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Any disciplinary action taken against the license.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8051C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481—821.5</w:t>
      </w:r>
      <w:r>
        <w:rPr>
          <w:rFonts w:ascii="Times New Roman" w:hAnsi="Times New Roman"/>
          <w:b/>
          <w:i w:val="false"/>
          <w:color w:val="000000"/>
          <w:sz w:val="22"/>
        </w:rPr>
        <w:t xml:space="preserve">(152C) </w:t>
      </w:r>
      <w:r>
        <w:rPr>
          <w:rFonts w:ascii="Times New Roman" w:hAnsi="Times New Roman"/>
          <w:b/>
          <w:i w:val="false"/>
          <w:color w:val="000000"/>
          <w:sz w:val="22"/>
        </w:rPr>
        <w:t xml:space="preserve">Licensure by verification. </w:t>
      </w:r>
      <w:r>
        <w:rPr>
          <w:rFonts w:ascii="Times New Roman" w:hAnsi="Times New Roman"/>
          <w:b w:val="false"/>
          <w:i w:val="false"/>
          <w:color w:val="000000"/>
          <w:sz w:val="22"/>
        </w:rPr>
        <w:t xml:space="preserve">A person who is licensed in another jurisdiction but who is unable to satisfy the requirements for licensure by endorsement may apply for licensure by verification, if eligible, in accordance with rule </w:t>
      </w:r>
      <w:hyperlink r:id="rId11">
        <w:r>
          <w:rPr>
            <w:rStyle w:val="Hyperlink"/>
            <w:rFonts w:ascii="Times New Roman" w:hAnsi="Times New Roman"/>
            <w:b w:val="false"/>
            <w:i w:val="false"/>
            <w:color w:val="000000"/>
            <w:sz w:val="22"/>
          </w:rPr>
          <w:t>481—501.1</w:t>
        </w:r>
      </w:hyperlink>
      <w:r>
        <w:rPr>
          <w:rFonts w:ascii="Times New Roman" w:hAnsi="Times New Roman"/>
          <w:b w:val="false"/>
          <w:i w:val="false"/>
          <w:color w:val="000000"/>
          <w:sz w:val="22"/>
        </w:rPr>
        <w:t xml:space="preserve">(272C).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8051C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481—821.6</w:t>
      </w:r>
      <w:r>
        <w:rPr>
          <w:rFonts w:ascii="Times New Roman" w:hAnsi="Times New Roman"/>
          <w:b/>
          <w:i w:val="false"/>
          <w:color w:val="000000"/>
          <w:sz w:val="22"/>
        </w:rPr>
        <w:t xml:space="preserve">(152C) </w:t>
      </w:r>
      <w:r>
        <w:rPr>
          <w:rFonts w:ascii="Times New Roman" w:hAnsi="Times New Roman"/>
          <w:b/>
          <w:i w:val="false"/>
          <w:color w:val="000000"/>
          <w:sz w:val="22"/>
        </w:rPr>
        <w:t xml:space="preserve">Temporary license. </w:t>
      </w:r>
      <w:r>
        <w:rPr>
          <w:rFonts w:ascii="Times New Roman" w:hAnsi="Times New Roman"/>
          <w:b w:val="false"/>
          <w:i w:val="false"/>
          <w:color w:val="000000"/>
          <w:sz w:val="22"/>
        </w:rPr>
        <w:t>A person who is licensed to practice massage therapy in another jurisdiction but who is unable to satisfy the requirements for licensure by endorsement, and who does not seek licensure by verification, may be issued a temporary license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821.6(1)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temporary license shall submit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completed online application for licensure and pay nonrefundable licensure fee specified in rule </w:t>
      </w:r>
      <w:hyperlink r:id="rId12">
        <w:r>
          <w:rPr>
            <w:rStyle w:val="Hyperlink"/>
            <w:rFonts w:ascii="Times New Roman" w:hAnsi="Times New Roman"/>
            <w:b w:val="false"/>
            <w:i w:val="false"/>
            <w:color w:val="000000"/>
            <w:sz w:val="22"/>
          </w:rPr>
          <w:t>481—507.8</w:t>
        </w:r>
      </w:hyperlink>
      <w:r>
        <w:rPr>
          <w:rFonts w:ascii="Times New Roman" w:hAnsi="Times New Roman"/>
          <w:b w:val="false"/>
          <w:i w:val="false"/>
          <w:color w:val="000000"/>
          <w:sz w:val="22"/>
        </w:rPr>
        <w:t>(147).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from the jurisdiction in which the applicant has most recently been licensed, sent directly from the issuing jurisdiction to the board. Web-based verification may be substituted for verification from a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name;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Date of initial licensure;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Current licensure status;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Any disciplinary action taken against the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plan for meeting all remaining requirements for licensure within one year of issuance of the temporary permit. Such a plan will include proof of enrollment in a school of massage therapy whose curriculum has been approved by the board, the date of enrollment, and the expected date of graduation.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821.6(2)</w:t>
      </w:r>
      <w:r>
        <w:rPr>
          <w:rFonts w:ascii="Times New Roman" w:hAnsi="Times New Roman"/>
          <w:b w:val="false"/>
          <w:i w:val="false"/>
          <w:color w:val="000000"/>
          <w:sz w:val="22"/>
        </w:rPr>
        <w:t> </w:t>
      </w:r>
      <w:r>
        <w:rPr>
          <w:rFonts w:ascii="Times New Roman" w:hAnsi="Times New Roman"/>
          <w:b w:val="false"/>
          <w:i w:val="false"/>
          <w:color w:val="000000"/>
          <w:sz w:val="22"/>
        </w:rPr>
        <w:t xml:space="preserve">A temporary license is valid for a period of up to one year and will not be renewed.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821.6(3)</w:t>
      </w:r>
      <w:r>
        <w:rPr>
          <w:rFonts w:ascii="Times New Roman" w:hAnsi="Times New Roman"/>
          <w:b w:val="false"/>
          <w:i w:val="false"/>
          <w:color w:val="000000"/>
          <w:sz w:val="22"/>
        </w:rPr>
        <w:t> </w:t>
      </w:r>
      <w:r>
        <w:rPr>
          <w:rFonts w:ascii="Times New Roman" w:hAnsi="Times New Roman"/>
          <w:b w:val="false"/>
          <w:i w:val="false"/>
          <w:color w:val="000000"/>
          <w:sz w:val="22"/>
        </w:rPr>
        <w:t xml:space="preserve">A temporary license holder shall be issued a permanent license upon the board’s receipt of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Official copies of academic transcripts sent directly to the board by the board-approved school demonstrating completion of all remaining hours of education for licensure.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of passing any National Certification Board for Therapeutic Massage and Bodywork (NCBTMB) examination or the Massage and Bodywork Licensing Examination (MBLEx) sent directly from the testing authority to the board. The passing score on the written examination is the passing point criterion established by the testing authority at the time the test was administered.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8051C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481—821.7</w:t>
      </w:r>
      <w:r>
        <w:rPr>
          <w:rFonts w:ascii="Times New Roman" w:hAnsi="Times New Roman"/>
          <w:b/>
          <w:i w:val="false"/>
          <w:color w:val="000000"/>
          <w:sz w:val="22"/>
        </w:rPr>
        <w:t xml:space="preserve">(152C) </w:t>
      </w:r>
      <w:r>
        <w:rPr>
          <w:rFonts w:ascii="Times New Roman" w:hAnsi="Times New Roman"/>
          <w:b/>
          <w:i w:val="false"/>
          <w:color w:val="000000"/>
          <w:sz w:val="22"/>
        </w:rPr>
        <w:t xml:space="preserve">License display. </w:t>
      </w:r>
      <w:r>
        <w:rPr>
          <w:rFonts w:ascii="Times New Roman" w:hAnsi="Times New Roman"/>
          <w:b w:val="false"/>
          <w:i w:val="false"/>
          <w:color w:val="000000"/>
          <w:sz w:val="22"/>
        </w:rPr>
        <w:t>The license certificate and proof of active licensure will be displayed in a conspicuous public place at the licensee’s primary site of practice.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8051C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481—821.8</w:t>
      </w:r>
      <w:r>
        <w:rPr>
          <w:rFonts w:ascii="Times New Roman" w:hAnsi="Times New Roman"/>
          <w:b/>
          <w:i w:val="false"/>
          <w:color w:val="000000"/>
          <w:sz w:val="22"/>
        </w:rPr>
        <w:t xml:space="preserve">(152C)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821.8(1)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begins on the sixteenth day of the anniversary month and ends on the fifteenth day of the anniversary month two years later. The licensee is responsible for renewing the license prior to its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821.8(2)</w:t>
      </w:r>
      <w:r>
        <w:rPr>
          <w:rFonts w:ascii="Times New Roman" w:hAnsi="Times New Roman"/>
          <w:b w:val="false"/>
          <w:i w:val="false"/>
          <w:color w:val="000000"/>
          <w:sz w:val="22"/>
        </w:rPr>
        <w:t> </w:t>
      </w:r>
      <w:r>
        <w:rPr>
          <w:rFonts w:ascii="Times New Roman" w:hAnsi="Times New Roman"/>
          <w:b w:val="false"/>
          <w:i w:val="false"/>
          <w:color w:val="000000"/>
          <w:sz w:val="22"/>
        </w:rPr>
        <w:t xml:space="preserve">Continuing education does not need to be completed during the first biennial license renewal period and is not a prerequisite for the first renewal of a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821.8(3)</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seeking renewal shall comply with the following before the license expiration date: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completed renewal application and renewal fee specified in rule </w:t>
      </w:r>
      <w:hyperlink r:id="rId13">
        <w:r>
          <w:rPr>
            <w:rStyle w:val="Hyperlink"/>
            <w:rFonts w:ascii="Times New Roman" w:hAnsi="Times New Roman"/>
            <w:b w:val="false"/>
            <w:i w:val="false"/>
            <w:color w:val="000000"/>
            <w:sz w:val="22"/>
          </w:rPr>
          <w:t>481—507.8</w:t>
        </w:r>
      </w:hyperlink>
      <w:r>
        <w:rPr>
          <w:rFonts w:ascii="Times New Roman" w:hAnsi="Times New Roman"/>
          <w:b w:val="false"/>
          <w:i w:val="false"/>
          <w:color w:val="000000"/>
          <w:sz w:val="22"/>
        </w:rPr>
        <w:t xml:space="preserve">(147), before the license expiration date;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of rule </w:t>
      </w:r>
      <w:hyperlink r:id="rId14">
        <w:r>
          <w:rPr>
            <w:rStyle w:val="Hyperlink"/>
            <w:rFonts w:ascii="Times New Roman" w:hAnsi="Times New Roman"/>
            <w:b w:val="false"/>
            <w:i w:val="false"/>
            <w:color w:val="000000"/>
            <w:sz w:val="22"/>
          </w:rPr>
          <w:t>481—823.2</w:t>
        </w:r>
      </w:hyperlink>
      <w:r>
        <w:rPr>
          <w:rFonts w:ascii="Times New Roman" w:hAnsi="Times New Roman"/>
          <w:b w:val="false"/>
          <w:i w:val="false"/>
          <w:color w:val="000000"/>
          <w:sz w:val="22"/>
        </w:rPr>
        <w:t xml:space="preserve">(152C) and the mandatory reporting requirements of subrule </w:t>
      </w:r>
      <w:r>
        <w:rPr>
          <w:rFonts w:ascii="Times New Roman" w:hAnsi="Times New Roman"/>
          <w:b w:val="false"/>
          <w:i w:val="false"/>
          <w:color w:val="000000"/>
          <w:sz w:val="22"/>
        </w:rPr>
        <w:t>821.8(4)</w:t>
      </w:r>
      <w:r>
        <w:rPr>
          <w:rFonts w:ascii="Times New Roman" w:hAnsi="Times New Roman"/>
          <w:b w:val="false"/>
          <w:i w:val="false"/>
          <w:color w:val="000000"/>
          <w:sz w:val="22"/>
        </w:rPr>
        <w:t>. A licensee whose license was reactivated during the current renewal compliance period may use continuing education credit earned during the compliance period for the first renewal following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821.8(4)</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in the scope of professional practice or in the licensee’s employment responsibilities examines, attends, counsels, or treats children and dependent adults in Iowa shall complete the applicable department of health and human services’ training related to the identification and reporting of child and dependent adult abuse as required by Iowa Code section </w:t>
      </w:r>
      <w:hyperlink r:id="rId15">
        <w:r>
          <w:rPr>
            <w:rStyle w:val="Hyperlink"/>
            <w:rFonts w:ascii="Times New Roman" w:hAnsi="Times New Roman"/>
            <w:b w:val="false"/>
            <w:i w:val="false"/>
            <w:color w:val="000000"/>
            <w:sz w:val="22"/>
          </w:rPr>
          <w:t>232.69(3)</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licensee will indicate on the renewal application completion of such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requirement for mandatory training for identifying and reporting child and dependent adult abuse shall be suspended if the board determines that suspension is in the public interest or that a person at the time of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engaged in active duty in the military service of this state or the United States;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Holds a current waiver by the board based on evidence of significant hardship in complying with training requirements, including an exemption of continuing education requirements or extension of time in which to fulfill the requirements due to a physical or mental disability or illness as provided in rule </w:t>
      </w:r>
      <w:hyperlink r:id="rId16">
        <w:r>
          <w:rPr>
            <w:rStyle w:val="Hyperlink"/>
            <w:rFonts w:ascii="Times New Roman" w:hAnsi="Times New Roman"/>
            <w:b w:val="false"/>
            <w:i w:val="false"/>
            <w:color w:val="000000"/>
            <w:sz w:val="22"/>
          </w:rPr>
          <w:t>481—500.14</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board may select licensees for audit of compliance with the requirements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821.8(5)</w:t>
      </w:r>
      <w:r>
        <w:rPr>
          <w:rFonts w:ascii="Times New Roman" w:hAnsi="Times New Roman"/>
          <w:b w:val="false"/>
          <w:i w:val="false"/>
          <w:color w:val="000000"/>
          <w:sz w:val="22"/>
        </w:rPr>
        <w:t> </w:t>
      </w:r>
      <w:r>
        <w:rPr>
          <w:rFonts w:ascii="Times New Roman" w:hAnsi="Times New Roman"/>
          <w:b w:val="false"/>
          <w:i w:val="false"/>
          <w:color w:val="000000"/>
          <w:sz w:val="22"/>
        </w:rPr>
        <w:t xml:space="preserve">Issuing renewals. Upon receiving the information required by this rule and the required fee, board staff shall administratively issue a two-year license renewal. In the event the board receives adverse information on the renewal application, the board will issue the renewal license but may refer the adverse information for further consideration or disciplinary investigation.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821.8(6)</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A license not renewed by the expiration date will be assessed a late fee as specified in </w:t>
      </w:r>
      <w:hyperlink r:id="rId17">
        <w:r>
          <w:rPr>
            <w:rStyle w:val="Hyperlink"/>
            <w:rFonts w:ascii="Times New Roman" w:hAnsi="Times New Roman"/>
            <w:b w:val="false"/>
            <w:i w:val="false"/>
            <w:color w:val="000000"/>
            <w:sz w:val="22"/>
          </w:rPr>
          <w:t>481—subrule 507.8(4)</w:t>
        </w:r>
      </w:hyperlink>
      <w:r>
        <w:rPr>
          <w:rFonts w:ascii="Times New Roman" w:hAnsi="Times New Roman"/>
          <w:b w:val="false"/>
          <w:i w:val="false"/>
          <w:color w:val="000000"/>
          <w:sz w:val="22"/>
        </w:rPr>
        <w:t>. Completion of renewal requirements and submission of the late fee within the grace period are needed to renew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821.8(7)</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 fails to renew the license by the end of the grace period has an inactive license. A licensee whose license is inactive continues to hold the privilege of licensure in Iowa, but may not practice as a massage therapist in Iowa until the license is reactivated. A licensee who practices as a massage therapist in the state of Iowa with an inactive license may be subject to disciplinary action by the board, injunctive action pursuant to Iowa Code section </w:t>
      </w:r>
      <w:hyperlink r:id="rId18">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19">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xml:space="preserve">, and other available legal remedies.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8051C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481—821.9</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821.9(1)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whose license is inactive may apply to reactivate the license in accordance with this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821.9(2)</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shall submit all of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completed online application for licensure and pay the nonrefundable licensure fee specified in rule </w:t>
      </w:r>
      <w:hyperlink r:id="rId20">
        <w:r>
          <w:rPr>
            <w:rStyle w:val="Hyperlink"/>
            <w:rFonts w:ascii="Times New Roman" w:hAnsi="Times New Roman"/>
            <w:b w:val="false"/>
            <w:i w:val="false"/>
            <w:color w:val="000000"/>
            <w:sz w:val="22"/>
          </w:rPr>
          <w:t>481—507.8</w:t>
        </w:r>
      </w:hyperlink>
      <w:r>
        <w:rPr>
          <w:rFonts w:ascii="Times New Roman" w:hAnsi="Times New Roman"/>
          <w:b w:val="false"/>
          <w:i w:val="false"/>
          <w:color w:val="000000"/>
          <w:sz w:val="22"/>
        </w:rPr>
        <w:t xml:space="preserve">(147). If the license has been inactive for five years or less, submission of: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of completion of 16 hours of continuing education within two years of application;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 from the jurisdiction in which the applicant has most recently been practicing during the time period the Iowa license was inactive, sent directly from the jurisdiction to the board office.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Any disciplinary action taken against the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license has been on inactive status for more than five years, submission of: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of completion of 16 hours of continuing education within two years of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of two years of active, licensed practice in another issuing jurisdiction immediately prior to submitting the application, or proof of passing one of the following examinations within two years of submitting the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National Certification Examination for Therapeutic Massage (NCETM);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National Certification Examination for Therapeutic Massage and Bodywork (NCETMB);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National Examination for States Licensing (NESL) option;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Massage and Bodywork Licensing Examination (MBLEx);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 from the jurisdiction in which the applicant has most recently been practicing during the time period the Iowa license was inactive, sent directly from the jurisdiction to the board office.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name;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Any disciplinary action taken against the license.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8051C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481—821.10</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 xml:space="preserve">A licensee whose license has been revoked, suspended, or voluntarily surrendered must apply for and receive reinstatement of the license in accordance with rule </w:t>
      </w:r>
      <w:hyperlink r:id="rId21">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 xml:space="preserve">(272C) and, if applicable, must apply for and be granted reactivation of the license in accordance with rule </w:t>
      </w:r>
      <w:hyperlink r:id="rId22">
        <w:r>
          <w:rPr>
            <w:rStyle w:val="Hyperlink"/>
            <w:rFonts w:ascii="Times New Roman" w:hAnsi="Times New Roman"/>
            <w:b w:val="false"/>
            <w:i w:val="false"/>
            <w:color w:val="000000"/>
            <w:sz w:val="22"/>
          </w:rPr>
          <w:t>481—821.9</w:t>
        </w:r>
      </w:hyperlink>
      <w:r>
        <w:rPr>
          <w:rFonts w:ascii="Times New Roman" w:hAnsi="Times New Roman"/>
          <w:b w:val="false"/>
          <w:i w:val="false"/>
          <w:color w:val="000000"/>
          <w:sz w:val="22"/>
        </w:rPr>
        <w:t>(17A,147,272C) prior to practicing as a massage therapist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8051C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152C</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6/5/02, Notice 1/23/02—published 6/26/02, effective 7/31/02]</w:t>
      </w:r>
    </w:p>
    <w:p>
      <w:pPr>
        <w:spacing w:before="0" w:after="0"/>
        <w:ind w:left="120"/>
        <w:jc w:val="center"/>
      </w:pPr>
      <w:r>
        <w:rPr>
          <w:rFonts w:ascii="Times New Roman" w:hAnsi="Times New Roman"/>
          <w:b w:val="false"/>
          <w:i w:val="false"/>
          <w:color w:val="000000"/>
          <w:sz w:val="21"/>
        </w:rPr>
        <w:t>[Filed 7/3/03, Notice 4/16/03—published 7/23/03, effective 8/27/03]</w:t>
      </w:r>
    </w:p>
    <w:p>
      <w:pPr>
        <w:spacing w:before="0" w:after="0"/>
        <w:ind w:left="120"/>
        <w:jc w:val="center"/>
      </w:pPr>
      <w:r>
        <w:rPr>
          <w:rFonts w:ascii="Times New Roman" w:hAnsi="Times New Roman"/>
          <w:b w:val="false"/>
          <w:i w:val="false"/>
          <w:color w:val="000000"/>
          <w:sz w:val="21"/>
        </w:rPr>
        <w:t>[Filed 6/3/04, Notice 3/31/04—published 6/23/04, effective 7/28/04]</w:t>
      </w:r>
    </w:p>
    <w:p>
      <w:pPr>
        <w:spacing w:before="0" w:after="0"/>
        <w:ind w:left="120"/>
        <w:jc w:val="center"/>
      </w:pPr>
      <w:r>
        <w:rPr>
          <w:rFonts w:ascii="Times New Roman" w:hAnsi="Times New Roman"/>
          <w:b w:val="false"/>
          <w:i w:val="false"/>
          <w:color w:val="000000"/>
          <w:sz w:val="21"/>
        </w:rPr>
        <w:t>[Filed 6/15/05, Notice 4/27/05—published 7/6/05, effective 8/10/05]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12/9/05, Notice 9/28/05—published 1/4/06, effective 2/8/06]</w:t>
      </w:r>
    </w:p>
    <w:p>
      <w:pPr>
        <w:spacing w:before="0" w:after="0"/>
        <w:ind w:left="120"/>
        <w:jc w:val="center"/>
      </w:pPr>
      <w:r>
        <w:rPr>
          <w:rFonts w:ascii="Times New Roman" w:hAnsi="Times New Roman"/>
          <w:b w:val="false"/>
          <w:i w:val="false"/>
          <w:color w:val="000000"/>
          <w:sz w:val="21"/>
        </w:rPr>
        <w:t>[Filed 3/8/06, Notice 1/4/06—published 3/29/06, effective 5/3/06]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6/9/06, Notice 3/29/06—published 7/5/06, effective 8/9/06]</w:t>
      </w:r>
    </w:p>
    <w:p>
      <w:pPr>
        <w:spacing w:before="0" w:after="0"/>
        <w:ind w:left="120"/>
        <w:jc w:val="center"/>
      </w:pPr>
      <w:r>
        <w:rPr>
          <w:rFonts w:ascii="Times New Roman" w:hAnsi="Times New Roman"/>
          <w:b w:val="false"/>
          <w:i w:val="false"/>
          <w:color w:val="000000"/>
          <w:sz w:val="21"/>
        </w:rPr>
        <w:t>[Filed 9/7/07, Notice 7/4/07—published 9/26/07, effective 10/31/07]</w:t>
      </w:r>
    </w:p>
    <w:p>
      <w:pPr>
        <w:spacing w:before="0" w:after="0"/>
        <w:ind w:left="120"/>
        <w:jc w:val="center"/>
      </w:pPr>
      <w:r>
        <w:rPr>
          <w:rFonts w:ascii="Times New Roman" w:hAnsi="Times New Roman"/>
          <w:b w:val="false"/>
          <w:i w:val="false"/>
          <w:color w:val="000000"/>
          <w:sz w:val="21"/>
        </w:rPr>
        <w:t>[Filed 3/4/08, Notice 9/26/07—published 3/26/08, effective 4/30/08]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9430B</w:t>
      </w:r>
      <w:r>
        <w:rPr>
          <w:rFonts w:ascii="Times New Roman" w:hAnsi="Times New Roman"/>
          <w:b w:val="false"/>
          <w:i w:val="false"/>
          <w:color w:val="000000"/>
          <w:sz w:val="21"/>
        </w:rPr>
        <w:t xml:space="preserve"> (Notice ARC 9319B, IAB 1/12/11)</w:t>
      </w:r>
      <w:r>
        <w:rPr>
          <w:rFonts w:ascii="Times New Roman" w:hAnsi="Times New Roman"/>
          <w:b w:val="false"/>
          <w:i w:val="false"/>
          <w:color w:val="000000"/>
          <w:sz w:val="21"/>
        </w:rPr>
        <w:t>, IAB 3/23/11, effective 4/27/11]</w:t>
      </w:r>
    </w:p>
    <w:p>
      <w:pPr>
        <w:spacing w:before="0" w:after="0"/>
        <w:ind w:left="120"/>
        <w:jc w:val="center"/>
      </w:pPr>
      <w:r>
        <w:rPr>
          <w:rFonts w:ascii="Times New Roman" w:hAnsi="Times New Roman"/>
          <w:b w:val="false"/>
          <w:i w:val="false"/>
          <w:color w:val="000000"/>
          <w:sz w:val="21"/>
        </w:rPr>
        <w:t>[Filed ARC 2778C</w:t>
      </w:r>
      <w:r>
        <w:rPr>
          <w:rFonts w:ascii="Times New Roman" w:hAnsi="Times New Roman"/>
          <w:b w:val="false"/>
          <w:i w:val="false"/>
          <w:color w:val="000000"/>
          <w:sz w:val="21"/>
        </w:rPr>
        <w:t xml:space="preserve"> (Notice ARC 2503C, IAB 4/27/16)</w:t>
      </w:r>
      <w:r>
        <w:rPr>
          <w:rFonts w:ascii="Times New Roman" w:hAnsi="Times New Roman"/>
          <w:b w:val="false"/>
          <w:i w:val="false"/>
          <w:color w:val="000000"/>
          <w:sz w:val="21"/>
        </w:rPr>
        <w:t>, IAB 10/26/16, effective 11/30/16]</w:t>
      </w:r>
    </w:p>
    <w:p>
      <w:pPr>
        <w:spacing w:before="0" w:after="0"/>
        <w:ind w:left="120"/>
        <w:jc w:val="center"/>
      </w:pPr>
      <w:r>
        <w:rPr>
          <w:rFonts w:ascii="Times New Roman" w:hAnsi="Times New Roman"/>
          <w:b w:val="false"/>
          <w:i w:val="false"/>
          <w:color w:val="000000"/>
          <w:sz w:val="21"/>
        </w:rPr>
        <w:t>[Filed ARC 5097C</w:t>
      </w:r>
      <w:r>
        <w:rPr>
          <w:rFonts w:ascii="Times New Roman" w:hAnsi="Times New Roman"/>
          <w:b w:val="false"/>
          <w:i w:val="false"/>
          <w:color w:val="000000"/>
          <w:sz w:val="21"/>
        </w:rPr>
        <w:t xml:space="preserve"> (Amended Notice ARC 4992C, IAB 3/25/20; </w:t>
      </w:r>
      <w:r>
        <w:rPr>
          <w:rFonts w:ascii="Times New Roman" w:hAnsi="Times New Roman"/>
          <w:b w:val="false"/>
          <w:i w:val="false"/>
          <w:color w:val="000000"/>
          <w:sz w:val="21"/>
        </w:rPr>
        <w:t>Notice ARC 4726C, IAB 10/23/19)</w:t>
      </w:r>
      <w:r>
        <w:rPr>
          <w:rFonts w:ascii="Times New Roman" w:hAnsi="Times New Roman"/>
          <w:b w:val="false"/>
          <w:i w:val="false"/>
          <w:color w:val="000000"/>
          <w:sz w:val="21"/>
        </w:rPr>
        <w:t>, IAB 7/15/20, effective 8/19/20]</w:t>
      </w:r>
    </w:p>
    <w:p>
      <w:pPr>
        <w:spacing w:before="0" w:after="0"/>
        <w:ind w:left="120"/>
        <w:jc w:val="center"/>
      </w:pPr>
      <w:r>
        <w:rPr>
          <w:rFonts w:ascii="Times New Roman" w:hAnsi="Times New Roman"/>
          <w:b w:val="false"/>
          <w:i w:val="false"/>
          <w:color w:val="000000"/>
          <w:sz w:val="21"/>
        </w:rPr>
        <w:t>[Filed ARC 5769C</w:t>
      </w:r>
      <w:r>
        <w:rPr>
          <w:rFonts w:ascii="Times New Roman" w:hAnsi="Times New Roman"/>
          <w:b w:val="false"/>
          <w:i w:val="false"/>
          <w:color w:val="000000"/>
          <w:sz w:val="21"/>
        </w:rPr>
        <w:t xml:space="preserve"> (Notice ARC 5443C,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6415C</w:t>
      </w:r>
      <w:r>
        <w:rPr>
          <w:rFonts w:ascii="Times New Roman" w:hAnsi="Times New Roman"/>
          <w:b w:val="false"/>
          <w:i w:val="false"/>
          <w:color w:val="000000"/>
          <w:sz w:val="21"/>
        </w:rPr>
        <w:t xml:space="preserve"> (Notice ARC 6257C, IAB 3/23/22)</w:t>
      </w:r>
      <w:r>
        <w:rPr>
          <w:rFonts w:ascii="Times New Roman" w:hAnsi="Times New Roman"/>
          <w:b w:val="false"/>
          <w:i w:val="false"/>
          <w:color w:val="000000"/>
          <w:sz w:val="21"/>
        </w:rPr>
        <w:t>, IAB 7/13/22, effective 8/17/22]</w:t>
      </w:r>
    </w:p>
    <w:p>
      <w:pPr>
        <w:spacing w:before="0" w:after="0"/>
        <w:ind w:left="120"/>
        <w:jc w:val="center"/>
      </w:pPr>
      <w:r>
        <w:rPr>
          <w:rFonts w:ascii="Times New Roman" w:hAnsi="Times New Roman"/>
          <w:b w:val="false"/>
          <w:i w:val="false"/>
          <w:color w:val="000000"/>
          <w:sz w:val="21"/>
        </w:rPr>
        <w:t>[Filed ARC 6827C</w:t>
      </w:r>
      <w:r>
        <w:rPr>
          <w:rFonts w:ascii="Times New Roman" w:hAnsi="Times New Roman"/>
          <w:b w:val="false"/>
          <w:i w:val="false"/>
          <w:color w:val="000000"/>
          <w:sz w:val="21"/>
        </w:rPr>
        <w:t xml:space="preserve"> (Notice ARC 6597C, IAB 10/19/22)</w:t>
      </w:r>
      <w:r>
        <w:rPr>
          <w:rFonts w:ascii="Times New Roman" w:hAnsi="Times New Roman"/>
          <w:b w:val="false"/>
          <w:i w:val="false"/>
          <w:color w:val="000000"/>
          <w:sz w:val="21"/>
        </w:rPr>
        <w:t>, IAB 1/25/23, effective 3/1/23]</w:t>
      </w:r>
    </w:p>
    <w:p>
      <w:pPr>
        <w:spacing w:before="0" w:after="0"/>
        <w:ind w:left="120"/>
        <w:jc w:val="center"/>
      </w:pPr>
      <w:r>
        <w:rPr>
          <w:rFonts w:ascii="Times New Roman" w:hAnsi="Times New Roman"/>
          <w:b w:val="false"/>
          <w:i w:val="false"/>
          <w:color w:val="000000"/>
          <w:sz w:val="21"/>
        </w:rPr>
        <w:t>[Filed ARC 6992C</w:t>
      </w:r>
      <w:r>
        <w:rPr>
          <w:rFonts w:ascii="Times New Roman" w:hAnsi="Times New Roman"/>
          <w:b w:val="false"/>
          <w:i w:val="false"/>
          <w:color w:val="000000"/>
          <w:sz w:val="21"/>
        </w:rPr>
        <w:t xml:space="preserve"> (Notice ARC 6650C,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8051C</w:t>
      </w:r>
      <w:r>
        <w:rPr>
          <w:rFonts w:ascii="Times New Roman" w:hAnsi="Times New Roman"/>
          <w:b w:val="false"/>
          <w:i w:val="false"/>
          <w:color w:val="000000"/>
          <w:sz w:val="21"/>
        </w:rPr>
        <w:t xml:space="preserve"> (Notice ARC 7479C, IAB 1/10/24)</w:t>
      </w:r>
      <w:r>
        <w:rPr>
          <w:rFonts w:ascii="Times New Roman" w:hAnsi="Times New Roman"/>
          <w:b w:val="false"/>
          <w:i w:val="false"/>
          <w:color w:val="000000"/>
          <w:sz w:val="21"/>
        </w:rPr>
        <w:t>, IAB 6/12/24, effective 7/17/24]</w:t>
      </w:r>
    </w:p>
    <w:p>
      <w:pPr>
        <w:spacing w:before="0" w:after="0"/>
        <w:ind w:left="120"/>
        <w:jc w:val="center"/>
      </w:pPr>
      <w:r>
        <w:rPr>
          <w:rFonts w:ascii="Times New Roman" w:hAnsi="Times New Roman"/>
          <w:b w:val="false"/>
          <w:i w:val="false"/>
          <w:color w:val="000000"/>
          <w:sz w:val="21"/>
        </w:rPr>
        <w:t>[Editorial change: IAC Supplement 9/18/24]</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507.8.pdf" Type="http://schemas.openxmlformats.org/officeDocument/2006/relationships/hyperlink" Id="rId5"/>
    <Relationship TargetMode="External" Target="https://www.legis.iowa.gov/docs/iac/rule/481.501.2.pdf" Type="http://schemas.openxmlformats.org/officeDocument/2006/relationships/hyperlink" Id="rId6"/>
    <Relationship TargetMode="External" Target="http://www.ierf.org" Type="http://schemas.openxmlformats.org/officeDocument/2006/relationships/hyperlink" Id="rId7"/>
    <Relationship TargetMode="External" Target="http://jsilny.org" Type="http://schemas.openxmlformats.org/officeDocument/2006/relationships/hyperlink" Id="rId8"/>
    <Relationship TargetMode="External" Target="https://www.legis.iowa.gov/docs/iac/rule/481.507.8.pdf" Type="http://schemas.openxmlformats.org/officeDocument/2006/relationships/hyperlink" Id="rId9"/>
    <Relationship TargetMode="External" Target="https://www.legis.iowa.gov/docs/iac/rule/481.821.2.pdf" Type="http://schemas.openxmlformats.org/officeDocument/2006/relationships/hyperlink" Id="rId10"/>
    <Relationship TargetMode="External" Target="https://www.legis.iowa.gov/docs/iac/rule/481.501.1.pdf" Type="http://schemas.openxmlformats.org/officeDocument/2006/relationships/hyperlink" Id="rId11"/>
    <Relationship TargetMode="External" Target="https://www.legis.iowa.gov/docs/iac/rule/481.507.8.pdf" Type="http://schemas.openxmlformats.org/officeDocument/2006/relationships/hyperlink" Id="rId12"/>
    <Relationship TargetMode="External" Target="https://www.legis.iowa.gov/docs/iac/rule/481.507.8.pdf" Type="http://schemas.openxmlformats.org/officeDocument/2006/relationships/hyperlink" Id="rId13"/>
    <Relationship TargetMode="External" Target="https://www.legis.iowa.gov/docs/iac/rule/481.823.2.pdf" Type="http://schemas.openxmlformats.org/officeDocument/2006/relationships/hyperlink" Id="rId14"/>
    <Relationship TargetMode="External" Target="https://www.legis.iowa.gov/docs/ico/chapter/232.69.pdf" Type="http://schemas.openxmlformats.org/officeDocument/2006/relationships/hyperlink" Id="rId15"/>
    <Relationship TargetMode="External" Target="https://www.legis.iowa.gov/docs/iac/rule/481.500.14.pdf" Type="http://schemas.openxmlformats.org/officeDocument/2006/relationships/hyperlink" Id="rId16"/>
    <Relationship TargetMode="External" Target="https://www.legis.iowa.gov/docs/iac/rule/481.507.8.pdf" Type="http://schemas.openxmlformats.org/officeDocument/2006/relationships/hyperlink" Id="rId17"/>
    <Relationship TargetMode="External" Target="https://www.legis.iowa.gov/docs/ico/chapter/147.83.pdf" Type="http://schemas.openxmlformats.org/officeDocument/2006/relationships/hyperlink" Id="rId18"/>
    <Relationship TargetMode="External" Target="https://www.legis.iowa.gov/docs/ico/chapter/147.86.pdf" Type="http://schemas.openxmlformats.org/officeDocument/2006/relationships/hyperlink" Id="rId19"/>
    <Relationship TargetMode="External" Target="https://www.legis.iowa.gov/docs/iac/rule/481.507.8.pdf" Type="http://schemas.openxmlformats.org/officeDocument/2006/relationships/hyperlink" Id="rId20"/>
    <Relationship TargetMode="External" Target="https://www.legis.iowa.gov/docs/iac/rule/481.506.31.pdf" Type="http://schemas.openxmlformats.org/officeDocument/2006/relationships/hyperlink" Id="rId21"/>
    <Relationship TargetMode="External" Target="https://www.legis.iowa.gov/docs/iac/rule/481.821.9.pdf" Type="http://schemas.openxmlformats.org/officeDocument/2006/relationships/hyperlink" Id="rId22"/>
    <Relationship TargetMode="External" Target="https://www.legis.iowa.gov/docs/ico/chapter/17A.pdf" Type="http://schemas.openxmlformats.org/officeDocument/2006/relationships/hyperlink" Id="rId23"/>
    <Relationship TargetMode="External" Target="https://www.legis.iowa.gov/docs/ico/chapter/147.pdf" Type="http://schemas.openxmlformats.org/officeDocument/2006/relationships/hyperlink" Id="rId24"/>
    <Relationship TargetMode="External" Target="https://www.legis.iowa.gov/docs/ico/chapter/152C.pdf" Type="http://schemas.openxmlformats.org/officeDocument/2006/relationships/hyperlink" Id="rId25"/>
    <Relationship TargetMode="External" Target="https://www.legis.iowa.gov/docs/ico/chapter/272C.pdf" Type="http://schemas.openxmlformats.org/officeDocument/2006/relationships/hyperlink" Id="rId2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