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ECONOMIC FRAUD BUREAU</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481—82.1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any person who has made an application for or is receiving state or federal public assistance from any state or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 contact” </w:t>
      </w:r>
      <w:r>
        <w:rPr>
          <w:rFonts w:ascii="Times New Roman" w:hAnsi="Times New Roman"/>
          <w:b w:val="false"/>
          <w:i w:val="false"/>
          <w:color w:val="000000"/>
          <w:sz w:val="22"/>
        </w:rPr>
        <w:t>means a reliable source other than the client who is knowledgeable about information relative to pertinent public assistance case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“HHS”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investigations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benefit transfer” </w:t>
      </w:r>
      <w:r>
        <w:rPr>
          <w:rFonts w:ascii="Times New Roman" w:hAnsi="Times New Roman"/>
          <w:b w:val="false"/>
          <w:i w:val="false"/>
          <w:color w:val="000000"/>
          <w:sz w:val="22"/>
        </w:rPr>
        <w:t>means the electronic process that allows a client to authorize the transfer of the client’s benefits from a financial account to a retailer to pay for eligible items received. Clients are issued an EBT card similar to a bank ATM or debit card to receive and use their Supplemental Nutrition Assistance Program (SNAP)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“EBT trafficking”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7 CFR 271.2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“IPV”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7 CFR 273.16(c)</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“Pertinent public assistance case factors” </w:t>
      </w:r>
      <w:r>
        <w:rPr>
          <w:rFonts w:ascii="Times New Roman" w:hAnsi="Times New Roman"/>
          <w:b w:val="false"/>
          <w:i w:val="false"/>
          <w:color w:val="000000"/>
          <w:sz w:val="22"/>
        </w:rPr>
        <w:t>means information considered necessary to verify household composition, income, resources or any other potential program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violation” </w:t>
      </w:r>
      <w:r>
        <w:rPr>
          <w:rFonts w:ascii="Times New Roman" w:hAnsi="Times New Roman"/>
          <w:b w:val="false"/>
          <w:i w:val="false"/>
          <w:color w:val="000000"/>
          <w:sz w:val="22"/>
        </w:rPr>
        <w:t>means action that is contrary to the rules of eligibility for any state or federal public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441—11.1</w:t>
        </w:r>
      </w:hyperlink>
      <w:r>
        <w:rPr>
          <w:rFonts w:ascii="Times New Roman" w:hAnsi="Times New Roman"/>
          <w:b w:val="false"/>
          <w:i w:val="false"/>
          <w:color w:val="000000"/>
          <w:sz w:val="22"/>
        </w:rPr>
        <w:t>(217), or any other state or federal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w:t>
      </w:r>
      <w:r>
        <w:rPr>
          <w:rFonts w:ascii="Times New Roman" w:hAnsi="Times New Roman"/>
          <w:b/>
          <w:i w:val="false"/>
          <w:color w:val="000000"/>
          <w:sz w:val="22"/>
        </w:rPr>
        <w:t xml:space="preserve">(10A) </w:t>
      </w:r>
      <w:r>
        <w:rPr>
          <w:rFonts w:ascii="Times New Roman" w:hAnsi="Times New Roman"/>
          <w:b/>
          <w:i w:val="false"/>
          <w:color w:val="000000"/>
          <w:sz w:val="22"/>
        </w:rPr>
        <w:t xml:space="preserve">Economic fraud bureau (EFB or bureau). </w:t>
      </w:r>
      <w:r>
        <w:rPr>
          <w:rFonts w:ascii="Times New Roman" w:hAnsi="Times New Roman"/>
          <w:b w:val="false"/>
          <w:i w:val="false"/>
          <w:color w:val="000000"/>
          <w:sz w:val="22"/>
        </w:rPr>
        <w:t>Generally, the EFB conducts investigations of public assistance fraud, if a written agreement has been entered into between the department and an entity of the executive branch of the federal, state or local government, in order to maintain integrity and accountability in the administration of public assistance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Client contact. </w:t>
      </w:r>
      <w:r>
        <w:rPr>
          <w:rFonts w:ascii="Times New Roman" w:hAnsi="Times New Roman"/>
          <w:b w:val="false"/>
          <w:i w:val="false"/>
          <w:color w:val="000000"/>
          <w:sz w:val="22"/>
        </w:rPr>
        <w:t>The bureau may but does not have to contact the client during the course of an investigation. If the bureau contacts the client and the client does not respond, the client’s nonresponse will be included in the bureau’s investigation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Evidence gathered. </w:t>
      </w:r>
      <w:r>
        <w:rPr>
          <w:rFonts w:ascii="Times New Roman" w:hAnsi="Times New Roman"/>
          <w:b w:val="false"/>
          <w:i w:val="false"/>
          <w:color w:val="000000"/>
          <w:sz w:val="22"/>
        </w:rPr>
        <w:t>The bureau may conduct record reviews and gather evidence to verify a client’s employment, wages, residence, household composition, income versus expenses, property ownership or other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Subpoenas may be issued pursuant to Iowa Code section </w:t>
      </w:r>
      <w:hyperlink r:id="rId6">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481—subrule 1.1(4)</w:t>
        </w:r>
      </w:hyperlink>
      <w:r>
        <w:rPr>
          <w:rFonts w:ascii="Times New Roman" w:hAnsi="Times New Roman"/>
          <w:b w:val="false"/>
          <w:i w:val="false"/>
          <w:color w:val="000000"/>
          <w:sz w:val="22"/>
        </w:rPr>
        <w:t xml:space="preserve"> to obtain information necessary to an investigation. Subpoenas may be served upon the respondent of the subpoena or the respondent’s registered agent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Personally by division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Via USPS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Via facsimile or email.</w:t>
      </w:r>
    </w:p>
    <w:p>
      <w:pPr>
        <w:spacing w:before="0" w:after="0"/>
        <w:ind w:left="120"/>
        <w:jc w:val="both"/>
      </w:pPr>
      <w:r>
        <w:rPr>
          <w:rFonts w:ascii="Times New Roman" w:hAnsi="Times New Roman"/>
          <w:b w:val="false"/>
          <w:i w:val="false"/>
          <w:color w:val="000000"/>
          <w:sz w:val="22"/>
        </w:rPr>
        <w:t>Division personnel determine the appropriate method by which the respondent is to deliver information in response to a subpoena duces tecum.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color w:val="000000"/>
          <w:sz w:val="22"/>
        </w:rPr>
        <w:t xml:space="preserve">Collateral contacts. </w:t>
      </w:r>
      <w:r>
        <w:rPr>
          <w:rFonts w:ascii="Times New Roman" w:hAnsi="Times New Roman"/>
          <w:b w:val="false"/>
          <w:i w:val="false"/>
          <w:color w:val="000000"/>
          <w:sz w:val="22"/>
        </w:rPr>
        <w:t>The division may use collateral contacts to collect information pertinent to an investigation or verify information provided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The division may cooperate with local, state or federal law enforcement agencies during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481—82.4</w:t>
      </w:r>
      <w:r>
        <w:rPr>
          <w:rFonts w:ascii="Times New Roman" w:hAnsi="Times New Roman"/>
          <w:b/>
          <w:i w:val="false"/>
          <w:color w:val="000000"/>
          <w:sz w:val="22"/>
        </w:rPr>
        <w:t xml:space="preserve">(10A) </w:t>
      </w:r>
      <w:r>
        <w:rPr>
          <w:rFonts w:ascii="Times New Roman" w:hAnsi="Times New Roman"/>
          <w:b/>
          <w:i w:val="false"/>
          <w:color w:val="000000"/>
          <w:sz w:val="22"/>
        </w:rPr>
        <w:t xml:space="preserve">EBT trafficking investigations. </w:t>
      </w:r>
      <w:r>
        <w:rPr>
          <w:rFonts w:ascii="Times New Roman" w:hAnsi="Times New Roman"/>
          <w:b w:val="false"/>
          <w:i w:val="false"/>
          <w:color w:val="000000"/>
          <w:sz w:val="22"/>
        </w:rPr>
        <w:t xml:space="preserve">In addition to the procedures outlined in rule </w:t>
      </w:r>
      <w:hyperlink r:id="rId8">
        <w:r>
          <w:rPr>
            <w:rStyle w:val="Hyperlink"/>
            <w:rFonts w:ascii="Times New Roman" w:hAnsi="Times New Roman"/>
            <w:b w:val="false"/>
            <w:i w:val="false"/>
            <w:color w:val="000000"/>
            <w:sz w:val="22"/>
          </w:rPr>
          <w:t>481—82.3</w:t>
        </w:r>
      </w:hyperlink>
      <w:r>
        <w:rPr>
          <w:rFonts w:ascii="Times New Roman" w:hAnsi="Times New Roman"/>
          <w:b w:val="false"/>
          <w:i w:val="false"/>
          <w:color w:val="000000"/>
          <w:sz w:val="22"/>
        </w:rPr>
        <w:t>(10A), the following apply to EBT trafficking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Probable cause must be established before an EBT trafficking investigation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Referrals to the division may come from HHS, retailers, law enforcement agencies or the general public or following the identification of questionable EBT card transactions through federal or state databases. The bureau may open an investigation without an outside referral.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481—82.5</w:t>
      </w:r>
      <w:r>
        <w:rPr>
          <w:rFonts w:ascii="Times New Roman" w:hAnsi="Times New Roman"/>
          <w:b/>
          <w:i w:val="false"/>
          <w:color w:val="000000"/>
          <w:sz w:val="22"/>
        </w:rPr>
        <w:t xml:space="preserve">(10A) </w:t>
      </w:r>
      <w:r>
        <w:rPr>
          <w:rFonts w:ascii="Times New Roman" w:hAnsi="Times New Roman"/>
          <w:b/>
          <w:i w:val="false"/>
          <w:color w:val="000000"/>
          <w:sz w:val="22"/>
        </w:rPr>
        <w:t xml:space="preserve">Findings. </w:t>
      </w:r>
      <w:r>
        <w:rPr>
          <w:rFonts w:ascii="Times New Roman" w:hAnsi="Times New Roman"/>
          <w:b w:val="false"/>
          <w:i w:val="false"/>
          <w:color w:val="000000"/>
          <w:sz w:val="22"/>
        </w:rPr>
        <w:t>At the completion of an investigation, the bureau will transmit its findings in writing to the appropriate state or federal agency and make recommendations based on the evidence obtained or provided 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Decisions about public assistance eligibility. </w:t>
      </w:r>
      <w:r>
        <w:rPr>
          <w:rFonts w:ascii="Times New Roman" w:hAnsi="Times New Roman"/>
          <w:b w:val="false"/>
          <w:i w:val="false"/>
          <w:color w:val="000000"/>
          <w:sz w:val="22"/>
        </w:rPr>
        <w:t>The appropriate state or federal agency makes all decisions about public assistance eligibility. HHS will report the case action taken and any determination of overpayment, cost avoidance, or intentional program violation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Testimony and hearings. </w:t>
      </w:r>
      <w:r>
        <w:rPr>
          <w:rFonts w:ascii="Times New Roman" w:hAnsi="Times New Roman"/>
          <w:b w:val="false"/>
          <w:i w:val="false"/>
          <w:color w:val="000000"/>
          <w:sz w:val="22"/>
        </w:rPr>
        <w:t>Staff of the division may be called to testify in administrative and legal proceedings related to an investigation, in addition to conducting EBT intentional program violation hearings.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481—82.6</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EFB will maintain confidentiality of investigative case information in accordance with Iowa Code sections </w:t>
      </w:r>
      <w:hyperlink r:id="rId9">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any other applicable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0011D</w:t>
      </w:r>
      <w:r>
        <w:rPr>
          <w:rFonts w:ascii="Times New Roman" w:hAnsi="Times New Roman"/>
          <w:b w:val="false"/>
          <w:i w:val="false"/>
          <w:color w:val="000000"/>
          <w:sz w:val="21"/>
        </w:rPr>
        <w:t xml:space="preserve"> (Notice ARC 9749C, IAB 11/26/25)</w:t>
      </w:r>
      <w:r>
        <w:rPr>
          <w:rFonts w:ascii="Times New Roman" w:hAnsi="Times New Roman"/>
          <w:b w:val="false"/>
          <w:i w:val="false"/>
          <w:color w:val="000000"/>
          <w:sz w:val="21"/>
        </w:rPr>
        <w:t>, IAB 1/21/26, effective 2/25/26]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1.pdf" Type="http://schemas.openxmlformats.org/officeDocument/2006/relationships/hyperlink" Id="rId5"/>
    <Relationship TargetMode="External" Target="https://www.legis.iowa.gov/docs/ico/chapter/10A.104.pdf" Type="http://schemas.openxmlformats.org/officeDocument/2006/relationships/hyperlink" Id="rId6"/>
    <Relationship TargetMode="External" Target="https://www.legis.iowa.gov/docs/iac/rule/481.1.1.pdf" Type="http://schemas.openxmlformats.org/officeDocument/2006/relationships/hyperlink" Id="rId7"/>
    <Relationship TargetMode="External" Target="https://www.legis.iowa.gov/docs/iac/rule/481.82.3.pdf" Type="http://schemas.openxmlformats.org/officeDocument/2006/relationships/hyperlink" Id="rId8"/>
    <Relationship TargetMode="External" Target="https://www.legis.iowa.gov/docs/ico/chapter/10A.105.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10A.105.pdf" Type="http://schemas.openxmlformats.org/officeDocument/2006/relationships/hyperlink" Id="rId11"/>
    <Relationship TargetMode="External" Target="https://www.legis.iowa.gov/docs/ico/chapter/10A.402.pdf" Type="http://schemas.openxmlformats.org/officeDocument/2006/relationships/hyperlink" Id="rId12"/>
    <Relationship TargetMode="External" Target="https://www.legis.iowa.gov/docs/ico/chapter/10A.40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