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805</w:t>
      </w:r>
    </w:p>
    <w:p>
      <w:pPr>
        <w:spacing w:before="0" w:after="0"/>
        <w:ind w:left="120"/>
        <w:jc w:val="center"/>
      </w:pPr>
      <w:r>
        <w:rPr>
          <w:rFonts w:ascii="Times New Roman" w:hAnsi="Times New Roman"/>
          <w:b w:val="false"/>
          <w:i w:val="false"/>
          <w:color w:val="000000"/>
          <w:sz w:val="21"/>
        </w:rPr>
        <w:t>CONTINUING EDUCATION FOR OCCUPATIONAL THERAPISTS</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14"/>
        </w:rPr>
        <w:t>[Prior to 9/18/24, see Professional Licensure Division[645] Ch 207]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481—805.1</w:t>
      </w:r>
      <w:r>
        <w:rPr>
          <w:rFonts w:ascii="Times New Roman" w:hAnsi="Times New Roman"/>
          <w:b/>
          <w:i w:val="false"/>
          <w:color w:val="000000"/>
          <w:sz w:val="22"/>
        </w:rPr>
        <w:t xml:space="preserve">(148B)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compliance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and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occupational therapist or occupational therapy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extend for a two-year period that begins on the sixteenth day of the licensee’s birth month and ends two years later on the fifteenth day of the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therapist licensees. Each biennium, each person who is licensed to practice as an occupational therapist in this state will have the responsibility to finance the cost and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 for occupational therapy assistant licensees. Each biennium, each person who is licensed to practice as an occupational therapy assistant in this state will be required to complete a minimum of 15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occupational therapists and 15 hours for occupational therapy assistants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805.2(3)</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Occupational therapist licensees may apply a maximum of 15 hours from the previous renewal period. Occupational therapy assistant licensees may apply a maximum of 7.5 hours from the previous renewal period. 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9399C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481—805.3</w:t>
      </w:r>
      <w:r>
        <w:rPr>
          <w:rFonts w:ascii="Times New Roman" w:hAnsi="Times New Roman"/>
          <w:b/>
          <w:i w:val="false"/>
          <w:color w:val="000000"/>
          <w:sz w:val="22"/>
        </w:rPr>
        <w:t xml:space="preserve">(148B,272C)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Appropriate continuing education activity for purposes of license renewal will support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Directly supervising students for clinical education if the student being supervised is from an accredited occupational therapy or occupational therapy assistant program and is participating in a full-time clinical experience (defined as approximately 40 hours per week, ranging from 1 to 18 weeks). One hour will be awarded for every 160 contact hours of supervision. A maximum of 8 hours for an occupational therapist and 4 hours for an occupational therapy assistant may be awarded per biennium. The occupational therapist or occupational therapy assistant must have documentation from the accredited educational program indicating the number of hours spent supervising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for the first offering of the course.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occupational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10 continuing education hours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 on a one-time basis for the first offering of a course:</w:t>
      </w:r>
    </w:p>
    <w:p>
      <w:pPr>
        <w:spacing w:before="0" w:after="0"/>
        <w:ind w:left="120"/>
        <w:jc w:val="both"/>
      </w:pPr>
      <w:r>
        <w:rPr>
          <w:rFonts w:ascii="Times New Roman" w:hAnsi="Times New Roman"/>
          <w:b w:val="false"/>
          <w:i w:val="false"/>
          <w:color w:val="000000"/>
          <w:sz w:val="22"/>
        </w:rPr>
        <w:t>1 academic semester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15 continuing education hours of credit</w:t>
      </w:r>
    </w:p>
    <w:p>
      <w:pPr>
        <w:spacing w:before="0" w:after="0"/>
        <w:ind w:left="120"/>
        <w:jc w:val="both"/>
      </w:pPr>
      <w:r>
        <w:rPr>
          <w:rFonts w:ascii="Times New Roman" w:hAnsi="Times New Roman"/>
          <w:b w:val="false"/>
          <w:i w:val="false"/>
          <w:color w:val="000000"/>
          <w:sz w:val="22"/>
        </w:rPr>
        <w:t>1 academic trimester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12 continuing education hours of credit</w:t>
      </w:r>
    </w:p>
    <w:p>
      <w:pPr>
        <w:spacing w:before="0" w:after="0"/>
        <w:ind w:left="120"/>
        <w:jc w:val="both"/>
      </w:pPr>
      <w:r>
        <w:rPr>
          <w:rFonts w:ascii="Times New Roman" w:hAnsi="Times New Roman"/>
          <w:b w:val="false"/>
          <w:i w:val="false"/>
          <w:color w:val="000000"/>
          <w:sz w:val="22"/>
        </w:rPr>
        <w:t>1 academic quarter hour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shall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professional organizations related to the practice of occupational therapy, with one credit hour received for each six months of active service as an officer, delegate, or committee member, for a maximum of four hours of credit per biennium. Verification of participation must be provided by the professional organization to document the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in the following topics are not considered to be directly and primarily related to the clinical application of occupational therapy and therefore must not exceed a maximum combined total of eight hours of credit for an occupational therapist licensee and four hours of credit for an occupational therapy assistant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Business-related topics, such as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health topics, such as clinical research, CPR, mandatory reporter training,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7983C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7/26/00—published 11/29/00, effective 1/3/01]</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8/22/05, Notice 6/22/05—published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1659C</w:t>
      </w:r>
      <w:r>
        <w:rPr>
          <w:rFonts w:ascii="Times New Roman" w:hAnsi="Times New Roman"/>
          <w:b w:val="false"/>
          <w:i w:val="false"/>
          <w:color w:val="000000"/>
          <w:sz w:val="21"/>
        </w:rPr>
        <w:t xml:space="preserve"> (Notice ARC 1559C,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6985C</w:t>
      </w:r>
      <w:r>
        <w:rPr>
          <w:rFonts w:ascii="Times New Roman" w:hAnsi="Times New Roman"/>
          <w:b w:val="false"/>
          <w:i w:val="false"/>
          <w:color w:val="000000"/>
          <w:sz w:val="21"/>
        </w:rPr>
        <w:t xml:space="preserve"> (Notice ARC 6661C,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7983C</w:t>
      </w:r>
      <w:r>
        <w:rPr>
          <w:rFonts w:ascii="Times New Roman" w:hAnsi="Times New Roman"/>
          <w:b w:val="false"/>
          <w:i w:val="false"/>
          <w:color w:val="000000"/>
          <w:sz w:val="21"/>
        </w:rPr>
        <w:t xml:space="preserve"> (Notice ARC 7550C,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9399C</w:t>
      </w:r>
      <w:r>
        <w:rPr>
          <w:rFonts w:ascii="Times New Roman" w:hAnsi="Times New Roman"/>
          <w:b w:val="false"/>
          <w:i w:val="false"/>
          <w:color w:val="000000"/>
          <w:sz w:val="21"/>
        </w:rPr>
        <w:t xml:space="preserve"> (Notice ARC 8863C, IAB 2/19/25)</w:t>
      </w:r>
      <w:r>
        <w:rPr>
          <w:rFonts w:ascii="Times New Roman" w:hAnsi="Times New Roman"/>
          <w:b w:val="false"/>
          <w:i w:val="false"/>
          <w:color w:val="000000"/>
          <w:sz w:val="21"/>
        </w:rPr>
        <w:t>, IAB 7/9/25, effective 8/13/25]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B.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