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804</w:t>
      </w:r>
    </w:p>
    <w:p>
      <w:pPr>
        <w:spacing w:before="0" w:after="0"/>
        <w:ind w:left="120"/>
        <w:jc w:val="center"/>
      </w:pPr>
      <w:r>
        <w:rPr>
          <w:rFonts w:ascii="Times New Roman" w:hAnsi="Times New Roman"/>
          <w:b w:val="false"/>
          <w:i w:val="false"/>
          <w:color w:val="000000"/>
          <w:sz w:val="21"/>
        </w:rPr>
        <w:t>LICENSURE OF OCCUPATIONAL THERAPISTS</w:t>
      </w:r>
      <w:r>
        <w:br/>
      </w:r>
      <w:r>
        <w:rPr>
          <w:rFonts w:ascii="Times New Roman" w:hAnsi="Times New Roman"/>
          <w:b w:val="false"/>
          <w:i w:val="false"/>
          <w:color w:val="000000"/>
          <w:sz w:val="21"/>
        </w:rPr>
        <w:t>AND OCCUPATIONAL THERAPY ASSISTANTS</w:t>
      </w:r>
    </w:p>
    <w:p>
      <w:pPr>
        <w:spacing w:before="0" w:after="0"/>
        <w:ind w:left="120"/>
        <w:jc w:val="center"/>
      </w:pPr>
      <w:r>
        <w:rPr>
          <w:rFonts w:ascii="Times New Roman" w:hAnsi="Times New Roman"/>
          <w:b w:val="false"/>
          <w:i w:val="false"/>
          <w:color w:val="000000"/>
          <w:sz w:val="20"/>
        </w:rPr>
        <w:t>[Prior to 3/6/02, see 645—201.3(147,148B,272C) to 645—201.7(147) and 645—201.9(272C)]</w:t>
      </w:r>
    </w:p>
    <w:p>
      <w:pPr>
        <w:spacing w:before="0" w:after="0"/>
        <w:ind w:left="120"/>
        <w:jc w:val="center"/>
      </w:pPr>
      <w:r>
        <w:rPr>
          <w:rFonts w:ascii="Times New Roman" w:hAnsi="Times New Roman"/>
          <w:b w:val="false"/>
          <w:i w:val="false"/>
          <w:color w:val="000000"/>
          <w:sz w:val="20"/>
        </w:rPr>
        <w:t>[Prior to 9/18/24, see Professional Licensure Division[645] Ch 206]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481—804.1</w:t>
      </w:r>
      <w:r>
        <w:rPr>
          <w:rFonts w:ascii="Times New Roman" w:hAnsi="Times New Roman"/>
          <w:b/>
          <w:i w:val="false"/>
          <w:color w:val="000000"/>
          <w:sz w:val="22"/>
        </w:rPr>
        <w:t xml:space="preserve">(147)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physical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“DCI”</w:t>
      </w:r>
      <w:r>
        <w:rPr>
          <w:rFonts w:ascii="Times New Roman" w:hAnsi="Times New Roman"/>
          <w:b w:val="false"/>
          <w:i w:val="false"/>
          <w:color w:val="000000"/>
          <w:sz w:val="22"/>
        </w:rPr>
        <w:t> </w:t>
      </w:r>
      <w:r>
        <w:rPr>
          <w:rFonts w:ascii="Times New Roman" w:hAnsi="Times New Roman"/>
          <w:b w:val="false"/>
          <w:i w:val="false"/>
          <w:color w:val="000000"/>
          <w:sz w:val="22"/>
        </w:rPr>
        <w:t>means the Iowa division of criminal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“Endorsement”</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occupational therapy to an applicant who is currently licensed in another state who has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“FBI”</w:t>
      </w:r>
      <w:r>
        <w:rPr>
          <w:rFonts w:ascii="Times New Roman" w:hAnsi="Times New Roman"/>
          <w:b w:val="false"/>
          <w:i w:val="false"/>
          <w:color w:val="000000"/>
          <w:sz w:val="22"/>
        </w:rPr>
        <w:t> </w:t>
      </w:r>
      <w:r>
        <w:rPr>
          <w:rFonts w:ascii="Times New Roman" w:hAnsi="Times New Roman"/>
          <w:b w:val="false"/>
          <w:i w:val="false"/>
          <w:color w:val="000000"/>
          <w:sz w:val="22"/>
        </w:rPr>
        <w:t>means the Federal Bureau of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“Grace period”</w:t>
      </w:r>
      <w:r>
        <w:rPr>
          <w:rFonts w:ascii="Times New Roman" w:hAnsi="Times New Roman"/>
          <w:b w:val="false"/>
          <w:i w:val="false"/>
          <w:color w:val="000000"/>
          <w:sz w:val="22"/>
        </w:rPr>
        <w:t>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an occupational therapist or occupational therapy assistant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 expiration date”</w:t>
      </w:r>
      <w:r>
        <w:rPr>
          <w:rFonts w:ascii="Times New Roman" w:hAnsi="Times New Roman"/>
          <w:b w:val="false"/>
          <w:i w:val="false"/>
          <w:color w:val="000000"/>
          <w:sz w:val="22"/>
        </w:rPr>
        <w:t> </w:t>
      </w:r>
      <w:r>
        <w:rPr>
          <w:rFonts w:ascii="Times New Roman" w:hAnsi="Times New Roman"/>
          <w:b w:val="false"/>
          <w:i w:val="false"/>
          <w:color w:val="000000"/>
          <w:sz w:val="22"/>
        </w:rPr>
        <w:t>means the fifteenth day of the birth month every two years after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“Licensure by endorsement”</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occupational therapy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“Licensure examination”</w:t>
      </w:r>
      <w:r>
        <w:rPr>
          <w:rFonts w:ascii="Times New Roman" w:hAnsi="Times New Roman"/>
          <w:b w:val="false"/>
          <w:i w:val="false"/>
          <w:color w:val="000000"/>
          <w:sz w:val="22"/>
        </w:rPr>
        <w:t> </w:t>
      </w:r>
      <w:r>
        <w:rPr>
          <w:rFonts w:ascii="Times New Roman" w:hAnsi="Times New Roman"/>
          <w:b w:val="false"/>
          <w:i w:val="false"/>
          <w:color w:val="000000"/>
          <w:sz w:val="22"/>
        </w:rPr>
        <w:t>means the examination administered by the National Board for Certification in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“Mandatory training”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training on identifying and reporting child abuse or dependent adult abuse as required in Iowa Code sections </w:t>
      </w:r>
      <w:hyperlink r:id="rId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“NBCOT”</w:t>
      </w:r>
      <w:r>
        <w:rPr>
          <w:rFonts w:ascii="Times New Roman" w:hAnsi="Times New Roman"/>
          <w:b w:val="false"/>
          <w:i w:val="false"/>
          <w:color w:val="000000"/>
          <w:sz w:val="22"/>
        </w:rPr>
        <w:t> </w:t>
      </w:r>
      <w:r>
        <w:rPr>
          <w:rFonts w:ascii="Times New Roman" w:hAnsi="Times New Roman"/>
          <w:b w:val="false"/>
          <w:i w:val="false"/>
          <w:color w:val="000000"/>
          <w:sz w:val="22"/>
        </w:rPr>
        <w:t>means the National Board for Certification in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“Occupational therapist”</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under this chapter to practice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“Occupational therapy assistant”</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under this chapter to assist in the practice of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“Occupational therapy practice”</w:t>
      </w:r>
      <w:r>
        <w:rPr>
          <w:rFonts w:ascii="Times New Roman" w:hAnsi="Times New Roman"/>
          <w:b w:val="false"/>
          <w:i w:val="false"/>
          <w:color w:val="000000"/>
          <w:sz w:val="22"/>
        </w:rPr>
        <w:t> </w:t>
      </w:r>
      <w:r>
        <w:rPr>
          <w:rFonts w:ascii="Times New Roman" w:hAnsi="Times New Roman"/>
          <w:b w:val="false"/>
          <w:i w:val="false"/>
          <w:color w:val="000000"/>
          <w:sz w:val="22"/>
        </w:rPr>
        <w:t>means the therapeutic use of occupations, including everyday life activities with individuals, groups, populations, or organizations, to support participation, performance, and function in roles and situations in home, school, workplace, community, and other settings. Occupational therapy services are provided for habilitation, rehabilitation, and the promotion of health and wellness to those who have or are at risk for developing an illness, injury, disease, disorder, condition, impairment, disability, activity limitation, or participation restriction. Occupational therapy addresses the physical, cognitive, psychosocial, sensory-perceptual, and other aspects of performance in a variety of contexts and environments to support engagement in occupations that affect physical and mental health, well-being, and quality of life. The practice of occupational therapy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Evaluation of factors affecting activities of daily living (ADL), instrumental activities of daily living (IADL), rest and sleep, education, work, play, leisure, and social participation,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Client factors, including body functions (such as neuromusculoskeletal, sensory-perceptual, visual, mental, cognitive, and pain factors) and body structures (such as cardiovascular, digestive, nervous, integumentary, genitourinary systems, and structures related to movement) and values, beliefs, and spirituality.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Habits, routines, roles, rituals, and behavior patterns.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Physical and social environments; cultural, personal, temporal and virtual contexts; and activity demands that affect performance.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Performance skills, including motor and praxis, sensory-perceptual, emotional regulation, cognitive, communication and social skills.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Methods or approaches selected to direct the process of interventions,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Establishment of a skill or ability that has not yet developed or remediation or restoration of a skill or ability that is impaired or is in decline.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Compensation, modification, or adaptation of activity or environment to enhance performance or to prevent injuries, disorders, or other conditions.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Retention and enhancement of skills or abilities without which performance in everyday life activities would decline.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Promotion of health and wellness, including the use of self-management strategies, to enable or enhance performance in everyday life activities.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Prevention of barriers to performance and participation, including injury and disability prevention.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Interventions and procedures to promote or enhance safety and performance in ADL, IADL, rest and sleep, education, work, play, leisure, and social participation,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Therapeutic use of occupations, exercises, and activities.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Training in self-care, self-management, health management and maintenance, home management, community/work reintegration, and school activities and work performance.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Development, remediation, or compensation of neuromusculoskeletal, sensory-perceptual, visual, mental, and cognitive functions, pain tolerance and management, and behavioral skills.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Therapeutic use of self, including one’s personality, insights, perceptions, and judgments, as part of the therapeutic process.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Education and training of individuals, including family members, caregivers, groups, populations, and others.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Care coordination, case management, and transition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Consultative services to groups, programs, organizations, or communities.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Modification of environments (home, work, school, or community) and adaptation of processes, including the application of ergonomic principles.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Assessment, design, fabrication, application, fitting, and training in seating and positioning, assistive technology, adaptive devices, and orthotic devices, and training in the use of prosthetic devices.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Assessment, recommendation, and training in techniques to enhance functional mobility, including management of wheelchairs and other mobility devices.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Low vision rehabilitation.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Driver rehabilitation and community mobility.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Management of feeding, eating, and swallowing to enable eating and feeding performance.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Application of physical agent modalities and use of a range of specific therapeutic procedures (such as wound care management, interventions to enhance sensory-perceptual and cognitive processing, and manual therapy) to enhance performance skills.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Facilitating the occupational performance of groups, populations, or organizations through the modification of environments and the adaptation of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“Occupational therapy screening”</w:t>
      </w:r>
      <w:r>
        <w:rPr>
          <w:rFonts w:ascii="Times New Roman" w:hAnsi="Times New Roman"/>
          <w:b w:val="false"/>
          <w:i w:val="false"/>
          <w:color w:val="000000"/>
          <w:sz w:val="22"/>
        </w:rPr>
        <w:t> </w:t>
      </w:r>
      <w:r>
        <w:rPr>
          <w:rFonts w:ascii="Times New Roman" w:hAnsi="Times New Roman"/>
          <w:b w:val="false"/>
          <w:i w:val="false"/>
          <w:color w:val="000000"/>
          <w:sz w:val="22"/>
        </w:rPr>
        <w:t>means a brief process that is directed by an occupational therapist in order for the occupational therapist to render a decision as to whether the individual warrants further, in-depth evaluation and that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Assessment of the medical and social history of an individual;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Observations related by that individual’s caregivers;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Observations or nonstandardized tests, or both, administered to an individual by the occupational therapist or an occupational therapy assistant under the direction of the occupational therapist.</w:t>
      </w:r>
    </w:p>
    <w:p>
      <w:pPr>
        <w:spacing w:before="0" w:after="0"/>
        <w:ind w:left="120"/>
        <w:jc w:val="both"/>
      </w:pPr>
      <w:r>
        <w:rPr>
          <w:rFonts w:ascii="Times New Roman" w:hAnsi="Times New Roman"/>
          <w:b w:val="false"/>
          <w:i w:val="false"/>
          <w:color w:val="000000"/>
          <w:sz w:val="22"/>
        </w:rPr>
        <w:t>Nothing in this definition shall be construed to prohibit licensed occupational therapists and occupational therapy assistants who work in preschools or school settings from providing short-term interventions to children prior to an evaluation, not to exceed 16 sessions per concern per school year, in accordance with state and federal educational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 site”</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be continuously on site and present in the department or facility where the assistive personnel are performing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 be immediately available to assist the person being supervised in the services being performed;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 provide continued direction of appropriate aspects of each treatment session in which a component of treatment is delegated to assistive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“OT”</w:t>
      </w:r>
      <w:r>
        <w:rPr>
          <w:rFonts w:ascii="Times New Roman" w:hAnsi="Times New Roman"/>
          <w:b w:val="false"/>
          <w:i w:val="false"/>
          <w:color w:val="000000"/>
          <w:sz w:val="22"/>
        </w:rPr>
        <w:t> </w:t>
      </w:r>
      <w:r>
        <w:rPr>
          <w:rFonts w:ascii="Times New Roman" w:hAnsi="Times New Roman"/>
          <w:b w:val="false"/>
          <w:i w:val="false"/>
          <w:color w:val="000000"/>
          <w:sz w:val="22"/>
        </w:rPr>
        <w:t>means occupational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“OTA”</w:t>
      </w:r>
      <w:r>
        <w:rPr>
          <w:rFonts w:ascii="Times New Roman" w:hAnsi="Times New Roman"/>
          <w:b w:val="false"/>
          <w:i w:val="false"/>
          <w:color w:val="000000"/>
          <w:sz w:val="22"/>
        </w:rPr>
        <w:t> </w:t>
      </w:r>
      <w:r>
        <w:rPr>
          <w:rFonts w:ascii="Times New Roman" w:hAnsi="Times New Roman"/>
          <w:b w:val="false"/>
          <w:i w:val="false"/>
          <w:color w:val="000000"/>
          <w:sz w:val="22"/>
        </w:rPr>
        <w:t>means occupational therapy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“Reactivate”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“reactivation”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7">
        <w:r>
          <w:rPr>
            <w:rStyle w:val="Hyperlink"/>
            <w:rFonts w:ascii="Times New Roman" w:hAnsi="Times New Roman"/>
            <w:b w:val="false"/>
            <w:i w:val="false"/>
            <w:color w:val="000000"/>
            <w:sz w:val="22"/>
          </w:rPr>
          <w:t>481—804.8</w:t>
        </w:r>
      </w:hyperlink>
      <w:r>
        <w:rPr>
          <w:rFonts w:ascii="Times New Roman" w:hAnsi="Times New Roman"/>
          <w:b w:val="false"/>
          <w:i w:val="false"/>
          <w:color w:val="000000"/>
          <w:sz w:val="22"/>
        </w:rPr>
        <w:t xml:space="preserve">(17A,147,272C) by which an inactive license is restored to active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“Reciprocal license”</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occupational therapy to an applicant who is currently licensed in another state that has a mutual agreement with the Iowa board of physical and occupational therapy to license persons who have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“Reinstatement”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8">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0501D</w:t>
      </w:r>
      <w:r>
        <w:rPr>
          <w:rFonts w:ascii="Times New Roman" w:hAnsi="Times New Roman"/>
          <w:b w:val="false"/>
          <w:i w:val="false"/>
          <w:color w:val="000000"/>
          <w:sz w:val="16"/>
        </w:rPr>
        <w:t>, IAB 8/19/26, effective 7/1/27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481—804.2</w:t>
      </w:r>
      <w:r>
        <w:rPr>
          <w:rFonts w:ascii="Times New Roman" w:hAnsi="Times New Roman"/>
          <w:b/>
          <w:i w:val="false"/>
          <w:color w:val="000000"/>
          <w:sz w:val="22"/>
        </w:rPr>
        <w:t xml:space="preserve">(147) </w:t>
      </w:r>
      <w:r>
        <w:rPr>
          <w:rFonts w:ascii="Times New Roman" w:hAnsi="Times New Roman"/>
          <w:b/>
          <w:i w:val="false"/>
          <w:color w:val="000000"/>
          <w:sz w:val="22"/>
        </w:rPr>
        <w:t xml:space="preserve">Initial licensure. </w:t>
      </w:r>
      <w:r>
        <w:rPr>
          <w:rFonts w:ascii="Times New Roman" w:hAnsi="Times New Roman"/>
          <w:b w:val="false"/>
          <w:i w:val="false"/>
          <w:color w:val="000000"/>
          <w:sz w:val="22"/>
        </w:rPr>
        <w:t>The following criteria shall apply to licensure. The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 online application and pay the nonrefundable fee specified in rule </w:t>
      </w:r>
      <w:hyperlink r:id="rId9">
        <w:r>
          <w:rPr>
            <w:rStyle w:val="Hyperlink"/>
            <w:rFonts w:ascii="Times New Roman" w:hAnsi="Times New Roman"/>
            <w:b w:val="false"/>
            <w:i w:val="false"/>
            <w:color w:val="000000"/>
            <w:sz w:val="22"/>
          </w:rPr>
          <w:t>481—507.11</w:t>
        </w:r>
      </w:hyperlink>
      <w:r>
        <w:rPr>
          <w:rFonts w:ascii="Times New Roman" w:hAnsi="Times New Roman"/>
          <w:b w:val="false"/>
          <w:i w:val="false"/>
          <w:color w:val="000000"/>
          <w:sz w:val="22"/>
        </w:rPr>
        <w:t>(147,148B).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804.2(2)</w:t>
      </w:r>
      <w:r>
        <w:rPr>
          <w:rFonts w:ascii="Times New Roman" w:hAnsi="Times New Roman"/>
          <w:b w:val="false"/>
          <w:i w:val="false"/>
          <w:color w:val="000000"/>
          <w:sz w:val="22"/>
        </w:rPr>
        <w:t> </w:t>
      </w:r>
      <w:r>
        <w:rPr>
          <w:rFonts w:ascii="Times New Roman" w:hAnsi="Times New Roman"/>
          <w:b w:val="false"/>
          <w:i w:val="false"/>
          <w:color w:val="000000"/>
          <w:sz w:val="22"/>
        </w:rPr>
        <w:t>Submit an official copy of academic transcripts directly from the school to the board. No application will be considered by the board until official copies of academic transcripts have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804.2(3)</w:t>
      </w:r>
      <w:r>
        <w:rPr>
          <w:rFonts w:ascii="Times New Roman" w:hAnsi="Times New Roman"/>
          <w:b w:val="false"/>
          <w:i w:val="false"/>
          <w:color w:val="000000"/>
          <w:sz w:val="22"/>
        </w:rPr>
        <w:t> </w:t>
      </w:r>
      <w:r>
        <w:rPr>
          <w:rFonts w:ascii="Times New Roman" w:hAnsi="Times New Roman"/>
          <w:b w:val="false"/>
          <w:i w:val="false"/>
          <w:color w:val="000000"/>
          <w:sz w:val="22"/>
        </w:rPr>
        <w:t>Submit required waivers and fingerprints pursuant to the board-approved process to facilitate a national criminal history background check by the DCI and the FBI. The cost of the criminal history background check by the DCI and the FBI shall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804.2(4)</w:t>
      </w:r>
      <w:r>
        <w:rPr>
          <w:rFonts w:ascii="Times New Roman" w:hAnsi="Times New Roman"/>
          <w:b w:val="false"/>
          <w:i w:val="false"/>
          <w:color w:val="000000"/>
          <w:sz w:val="22"/>
        </w:rPr>
        <w:t> </w:t>
      </w:r>
      <w:r>
        <w:rPr>
          <w:rFonts w:ascii="Times New Roman" w:hAnsi="Times New Roman"/>
          <w:b w:val="false"/>
          <w:i w:val="false"/>
          <w:color w:val="000000"/>
          <w:sz w:val="22"/>
        </w:rPr>
        <w:t>Direct the examination service to submit examination scores directly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804.2(5)</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license(s) from every jurisdiction in which the applicant has been licensed, sent directly from the jurisdiction(s) to the board office. Web-based verification may be substituted for verification direct from the jurisdiction’s board office if it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0501D</w:t>
      </w:r>
      <w:r>
        <w:rPr>
          <w:rFonts w:ascii="Times New Roman" w:hAnsi="Times New Roman"/>
          <w:b w:val="false"/>
          <w:i w:val="false"/>
          <w:color w:val="000000"/>
          <w:sz w:val="16"/>
        </w:rPr>
        <w:t>, IAB 8/19/26, effective 7/1/27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481—804.3</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Licensure by endorsement. </w:t>
      </w:r>
      <w:r>
        <w:rPr>
          <w:rFonts w:ascii="Times New Roman" w:hAnsi="Times New Roman"/>
          <w:b w:val="false"/>
          <w:i w:val="false"/>
          <w:color w:val="000000"/>
          <w:sz w:val="22"/>
        </w:rPr>
        <w:t xml:space="preserve">An occupational therapist or occupational therapy assistant applicant who holds a license in another state shall complete requirements in rule </w:t>
      </w:r>
      <w:hyperlink r:id="rId10">
        <w:r>
          <w:rPr>
            <w:rStyle w:val="Hyperlink"/>
            <w:rFonts w:ascii="Times New Roman" w:hAnsi="Times New Roman"/>
            <w:b w:val="false"/>
            <w:i w:val="false"/>
            <w:color w:val="000000"/>
            <w:sz w:val="22"/>
          </w:rPr>
          <w:t>481—804.2</w:t>
        </w:r>
      </w:hyperlink>
      <w:r>
        <w:rPr>
          <w:rFonts w:ascii="Times New Roman" w:hAnsi="Times New Roman"/>
          <w:b w:val="false"/>
          <w:i w:val="false"/>
          <w:color w:val="000000"/>
          <w:sz w:val="22"/>
        </w:rPr>
        <w:t xml:space="preserve">(147) and have completed one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804.3(1)</w:t>
      </w:r>
      <w:r>
        <w:rPr>
          <w:rFonts w:ascii="Times New Roman" w:hAnsi="Times New Roman"/>
          <w:b w:val="false"/>
          <w:i w:val="false"/>
          <w:color w:val="000000"/>
          <w:sz w:val="22"/>
        </w:rPr>
        <w:t> </w:t>
      </w:r>
      <w:r>
        <w:rPr>
          <w:rFonts w:ascii="Times New Roman" w:hAnsi="Times New Roman"/>
          <w:b w:val="false"/>
          <w:i w:val="false"/>
          <w:color w:val="000000"/>
          <w:sz w:val="22"/>
        </w:rPr>
        <w:t>Completed board-approved continuing education during the immediately preceding two-year period: 30 hours for an occupational therapist and 15 hours for an occupational therapy assistant;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804.3(2)</w:t>
      </w:r>
      <w:r>
        <w:rPr>
          <w:rFonts w:ascii="Times New Roman" w:hAnsi="Times New Roman"/>
          <w:b w:val="false"/>
          <w:i w:val="false"/>
          <w:color w:val="000000"/>
          <w:sz w:val="22"/>
        </w:rPr>
        <w:t> </w:t>
      </w:r>
      <w:r>
        <w:rPr>
          <w:rFonts w:ascii="Times New Roman" w:hAnsi="Times New Roman"/>
          <w:b w:val="false"/>
          <w:i w:val="false"/>
          <w:color w:val="000000"/>
          <w:sz w:val="22"/>
        </w:rPr>
        <w:t>Practiced for a minimum of 2,080 hours during the immediately preceding two-year period;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804.3(3)</w:t>
      </w:r>
      <w:r>
        <w:rPr>
          <w:rFonts w:ascii="Times New Roman" w:hAnsi="Times New Roman"/>
          <w:b w:val="false"/>
          <w:i w:val="false"/>
          <w:color w:val="000000"/>
          <w:sz w:val="22"/>
        </w:rPr>
        <w:t> </w:t>
      </w:r>
      <w:r>
        <w:rPr>
          <w:rFonts w:ascii="Times New Roman" w:hAnsi="Times New Roman"/>
          <w:b w:val="false"/>
          <w:i w:val="false"/>
          <w:color w:val="000000"/>
          <w:sz w:val="22"/>
        </w:rPr>
        <w:t>Served the equivalent of one year as a full-time faculty member teaching in an accredited school of occupational therapy for at least one of the immediately preceding two years;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804.3(4)</w:t>
      </w:r>
      <w:r>
        <w:rPr>
          <w:rFonts w:ascii="Times New Roman" w:hAnsi="Times New Roman"/>
          <w:b w:val="false"/>
          <w:i w:val="false"/>
          <w:color w:val="000000"/>
          <w:sz w:val="22"/>
        </w:rPr>
        <w:t> </w:t>
      </w:r>
      <w:r>
        <w:rPr>
          <w:rFonts w:ascii="Times New Roman" w:hAnsi="Times New Roman"/>
          <w:b w:val="false"/>
          <w:i w:val="false"/>
          <w:color w:val="000000"/>
          <w:sz w:val="22"/>
        </w:rPr>
        <w:t>Successfully passing the examination within a period of two years from the date of examination to the time application is completed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481—804.4</w:t>
      </w:r>
      <w:r>
        <w:rPr>
          <w:rFonts w:ascii="Times New Roman" w:hAnsi="Times New Roman"/>
          <w:b/>
          <w:i w:val="false"/>
          <w:color w:val="000000"/>
          <w:sz w:val="22"/>
        </w:rPr>
        <w:t xml:space="preserve">(147E) </w:t>
      </w:r>
      <w:r>
        <w:rPr>
          <w:rFonts w:ascii="Times New Roman" w:hAnsi="Times New Roman"/>
          <w:b/>
          <w:i w:val="false"/>
          <w:color w:val="000000"/>
          <w:sz w:val="22"/>
        </w:rPr>
        <w:t xml:space="preserve">Occupational therapy licensure compact. </w:t>
      </w:r>
      <w:r>
        <w:rPr>
          <w:rFonts w:ascii="Times New Roman" w:hAnsi="Times New Roman"/>
          <w:b w:val="false"/>
          <w:i w:val="false"/>
          <w:color w:val="000000"/>
          <w:sz w:val="22"/>
        </w:rPr>
        <w:t xml:space="preserve">The rules of the occupational therapy compact commission are incorporated by reference. An occupational therapist or occupational therapist assistant may engage in the practice of occupational therapy in Iowa without a license issued by the board if the individual has a current compact privilege to practice in Iowa issued by the occupational therapy compact commission. The state fee for issuance of a compact privilege to practice in Iowa shall be $60, which will be collected by the occupational therapy compact commission. The state fee for issuance of a compact privilege to practice in Iowa shall be waived for an active duty military member or spouse of an individual who is an active duty military member. An occupational therapist or occupational therapist assistant who practices occupational therapy in Iowa using a compact privilege is subject to the rules governing licensees in this chapter and in 481—Chapters </w:t>
      </w:r>
      <w:hyperlink r:id="rId11">
        <w:r>
          <w:rPr>
            <w:rStyle w:val="Hyperlink"/>
            <w:rFonts w:ascii="Times New Roman" w:hAnsi="Times New Roman"/>
            <w:b w:val="false"/>
            <w:i w:val="false"/>
            <w:color w:val="000000"/>
            <w:sz w:val="22"/>
          </w:rPr>
          <w:t>806</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807</w:t>
        </w:r>
      </w:hyperlink>
      <w:r>
        <w:rPr>
          <w:rFonts w:ascii="Times New Roman" w:hAnsi="Times New Roman"/>
          <w:b w:val="false"/>
          <w:i w:val="false"/>
          <w:color w:val="000000"/>
          <w:sz w:val="22"/>
        </w:rPr>
        <w:t xml:space="preserve">. Complaints, investigations, and disciplinary proceedings involving a compact privilege shall be handled in accordance with Iowa Code chapters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Iowa Code section </w:t>
      </w:r>
      <w:hyperlink r:id="rId15">
        <w:r>
          <w:rPr>
            <w:rStyle w:val="Hyperlink"/>
            <w:rFonts w:ascii="Times New Roman" w:hAnsi="Times New Roman"/>
            <w:b w:val="false"/>
            <w:i w:val="false"/>
            <w:color w:val="000000"/>
            <w:sz w:val="22"/>
          </w:rPr>
          <w:t>147E.1</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481—Chapters 503</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147E.1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0501D</w:t>
      </w:r>
      <w:r>
        <w:rPr>
          <w:rFonts w:ascii="Times New Roman" w:hAnsi="Times New Roman"/>
          <w:b w:val="false"/>
          <w:i w:val="false"/>
          <w:color w:val="000000"/>
          <w:sz w:val="16"/>
        </w:rPr>
        <w:t>, IAB 8/19/26, effective 7/1/27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481—804.5</w:t>
      </w:r>
      <w:r>
        <w:rPr>
          <w:rFonts w:ascii="Times New Roman" w:hAnsi="Times New Roman"/>
          <w:b/>
          <w:i w:val="false"/>
          <w:color w:val="000000"/>
          <w:sz w:val="22"/>
        </w:rPr>
        <w:t xml:space="preserve">(147) </w:t>
      </w:r>
      <w:r>
        <w:rPr>
          <w:rFonts w:ascii="Times New Roman" w:hAnsi="Times New Roman"/>
          <w:b/>
          <w:i w:val="false"/>
          <w:color w:val="000000"/>
          <w:sz w:val="22"/>
        </w:rPr>
        <w:t xml:space="preserve">Limited permit to practice pending licensure. </w:t>
      </w:r>
      <w:r>
        <w:rPr>
          <w:rFonts w:ascii="Times New Roman" w:hAnsi="Times New Roman"/>
          <w:b w:val="false"/>
          <w:i w:val="false"/>
          <w:color w:val="000000"/>
          <w:sz w:val="22"/>
        </w:rPr>
        <w:t>A limited permit holder who is applying for licensure in Iowa by taking the licensure examination for the first time and has never been licensed as an occupational therapist or occupational therapy assistant in any state, the District of Columbia, or another country must have completed the educational and experience requirements for licensure as an occupational therapist or occupational therapy assistant. The limited permit holder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Make arrangements to take the examination and have the official results of the examination sent directly from the examination service to the board;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Apply for licensure on forms provided by the board. The applicant must include on the application form the name of the Iowa-licensed occupational therapist(s) who will provide supervision of the limited permit holder until the limited permit holder is licensed;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Practice only under the supervision of an Iowa-licensed OT for a period not to exceed six months from the date the application was received in the board office;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Submit to the board the name of the OT providing supervision within seven days after a change in supervision occurs;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If the applicant fails the national examination, cease practicing immediately.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0501D</w:t>
      </w:r>
      <w:r>
        <w:rPr>
          <w:rFonts w:ascii="Times New Roman" w:hAnsi="Times New Roman"/>
          <w:b w:val="false"/>
          <w:i w:val="false"/>
          <w:color w:val="000000"/>
          <w:sz w:val="16"/>
        </w:rPr>
        <w:t>, IAB 8/19/26, effective 7/1/27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481—804.6</w:t>
      </w:r>
      <w:r>
        <w:rPr>
          <w:rFonts w:ascii="Times New Roman" w:hAnsi="Times New Roman"/>
          <w:b/>
          <w:i w:val="false"/>
          <w:color w:val="000000"/>
          <w:sz w:val="22"/>
        </w:rPr>
        <w:t xml:space="preserve">(147) </w:t>
      </w:r>
      <w:r>
        <w:rPr>
          <w:rFonts w:ascii="Times New Roman" w:hAnsi="Times New Roman"/>
          <w:b/>
          <w:i w:val="false"/>
          <w:color w:val="000000"/>
          <w:sz w:val="22"/>
        </w:rPr>
        <w:t xml:space="preserve">Examination requirements. </w:t>
      </w:r>
      <w:r>
        <w:rPr>
          <w:rFonts w:ascii="Times New Roman" w:hAnsi="Times New Roman"/>
          <w:b w:val="false"/>
          <w:i w:val="false"/>
          <w:color w:val="000000"/>
          <w:sz w:val="22"/>
        </w:rPr>
        <w:t>The following criteria shall apply to the written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804.6(1)</w:t>
      </w:r>
      <w:r>
        <w:rPr>
          <w:rFonts w:ascii="Times New Roman" w:hAnsi="Times New Roman"/>
          <w:b w:val="false"/>
          <w:i w:val="false"/>
          <w:color w:val="000000"/>
          <w:sz w:val="22"/>
        </w:rPr>
        <w:t> </w:t>
      </w:r>
      <w:r>
        <w:rPr>
          <w:rFonts w:ascii="Times New Roman" w:hAnsi="Times New Roman"/>
          <w:b w:val="false"/>
          <w:i w:val="false"/>
          <w:color w:val="000000"/>
          <w:sz w:val="22"/>
        </w:rPr>
        <w:t>The applicant for licensure as an occupational therapist shall have received a passing score on the licensure examination for occupational therapists. It is the responsibility of the applicant to make arrangements to take the examination and have the official results submitted directly from the examination service to the board of physical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804.6(2)</w:t>
      </w:r>
      <w:r>
        <w:rPr>
          <w:rFonts w:ascii="Times New Roman" w:hAnsi="Times New Roman"/>
          <w:b w:val="false"/>
          <w:i w:val="false"/>
          <w:color w:val="000000"/>
          <w:sz w:val="22"/>
        </w:rPr>
        <w:t> </w:t>
      </w:r>
      <w:r>
        <w:rPr>
          <w:rFonts w:ascii="Times New Roman" w:hAnsi="Times New Roman"/>
          <w:b w:val="false"/>
          <w:i w:val="false"/>
          <w:color w:val="000000"/>
          <w:sz w:val="22"/>
        </w:rPr>
        <w:t>The applicant for licensure as an occupational therapy assistant shall have received a passing score on the licensure examination for occupational therapy assistants. It is the responsibility of the applicant to make arrangements to take the examination and have the official results submitted directly from the examination service to the board of physical and occupational therapy.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0501D</w:t>
      </w:r>
      <w:r>
        <w:rPr>
          <w:rFonts w:ascii="Times New Roman" w:hAnsi="Times New Roman"/>
          <w:b w:val="false"/>
          <w:i w:val="false"/>
          <w:color w:val="000000"/>
          <w:sz w:val="16"/>
        </w:rPr>
        <w:t>, IAB 8/19/26, effective 7/1/27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481—804.7</w:t>
      </w:r>
      <w:r>
        <w:rPr>
          <w:rFonts w:ascii="Times New Roman" w:hAnsi="Times New Roman"/>
          <w:b/>
          <w:i w:val="false"/>
          <w:color w:val="000000"/>
          <w:sz w:val="22"/>
        </w:rPr>
        <w:t xml:space="preserve">(147)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804.7(1)</w:t>
      </w:r>
      <w:r>
        <w:rPr>
          <w:rFonts w:ascii="Times New Roman" w:hAnsi="Times New Roman"/>
          <w:b w:val="false"/>
          <w:i w:val="false"/>
          <w:color w:val="000000"/>
          <w:sz w:val="22"/>
        </w:rPr>
        <w:t> </w:t>
      </w:r>
      <w:r>
        <w:rPr>
          <w:rFonts w:ascii="Times New Roman" w:hAnsi="Times New Roman"/>
          <w:b w:val="false"/>
          <w:i w:val="false"/>
          <w:color w:val="000000"/>
          <w:sz w:val="22"/>
        </w:rPr>
        <w:t>The applicant must present proof of meeting the following requirements for licensure as an occupational therapist or occupational therapy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Occupational therapist. </w:t>
      </w:r>
      <w:r>
        <w:rPr>
          <w:rFonts w:ascii="Times New Roman" w:hAnsi="Times New Roman"/>
          <w:b w:val="false"/>
          <w:i w:val="false"/>
          <w:color w:val="000000"/>
          <w:sz w:val="22"/>
        </w:rPr>
        <w:t>The applicant for licensure as an occupational therapist shall have completed the requirements for a degree in occupational therapy in an occupational therapy program accredited by the Accreditation Council for Occupational Therapy Education of the American Occupational Therapy Association. The transcript shall show completion of a supervised fieldwork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Occupational therapy assistant. </w:t>
      </w:r>
      <w:r>
        <w:rPr>
          <w:rFonts w:ascii="Times New Roman" w:hAnsi="Times New Roman"/>
          <w:b w:val="false"/>
          <w:i w:val="false"/>
          <w:color w:val="000000"/>
          <w:sz w:val="22"/>
        </w:rPr>
        <w:t>The applicant for licensure as an occupational therapy assistant shall be a graduate of an educational program approved by the Accreditation Council for Occupational Therapy Education of the American Occupational Therapy Association. The transcript shall show completion of a supervised fieldwork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804.7(2)</w:t>
      </w:r>
      <w:r>
        <w:rPr>
          <w:rFonts w:ascii="Times New Roman" w:hAnsi="Times New Roman"/>
          <w:b w:val="false"/>
          <w:i w:val="false"/>
          <w:color w:val="000000"/>
          <w:sz w:val="22"/>
        </w:rPr>
        <w:t> </w:t>
      </w:r>
      <w:r>
        <w:rPr>
          <w:rFonts w:ascii="Times New Roman" w:hAnsi="Times New Roman"/>
          <w:b w:val="false"/>
          <w:i w:val="false"/>
          <w:color w:val="000000"/>
          <w:sz w:val="22"/>
        </w:rPr>
        <w:t>Foreign-trained occupational therapists and occupational therapy assistants. To become eligible to take the licensure examination, internationally educated occupational therapists must meet NBCOT eligibility requirements and undergo prescreening based on the status of their occupational therapy educational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0501D</w:t>
      </w:r>
      <w:r>
        <w:rPr>
          <w:rFonts w:ascii="Times New Roman" w:hAnsi="Times New Roman"/>
          <w:b w:val="false"/>
          <w:i w:val="false"/>
          <w:color w:val="000000"/>
          <w:sz w:val="16"/>
        </w:rPr>
        <w:t>, IAB 8/19/26, effective 7/1/27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481—804.8</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as an occupational therapist or occupational therapy assistant shall begin on the sixteenth day of the birth month and end on the fifteenth day of the birth month two years later.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20">
        <w:r>
          <w:rPr>
            <w:rStyle w:val="Hyperlink"/>
            <w:rFonts w:ascii="Times New Roman" w:hAnsi="Times New Roman"/>
            <w:b w:val="false"/>
            <w:i w:val="false"/>
            <w:color w:val="000000"/>
            <w:sz w:val="22"/>
          </w:rPr>
          <w:t>481—805.2</w:t>
        </w:r>
      </w:hyperlink>
      <w:r>
        <w:rPr>
          <w:rFonts w:ascii="Times New Roman" w:hAnsi="Times New Roman"/>
          <w:b w:val="false"/>
          <w:i w:val="false"/>
          <w:color w:val="000000"/>
          <w:sz w:val="22"/>
        </w:rPr>
        <w:t xml:space="preserve">(272C) and the mandatory reporting requirements of rule </w:t>
      </w:r>
      <w:hyperlink r:id="rId21">
        <w:r>
          <w:rPr>
            <w:rStyle w:val="Hyperlink"/>
            <w:rFonts w:ascii="Times New Roman" w:hAnsi="Times New Roman"/>
            <w:b w:val="false"/>
            <w:i w:val="false"/>
            <w:color w:val="000000"/>
            <w:sz w:val="22"/>
          </w:rPr>
          <w:t>481—804.9</w:t>
        </w:r>
      </w:hyperlink>
      <w:r>
        <w:rPr>
          <w:rFonts w:ascii="Times New Roman" w:hAnsi="Times New Roman"/>
          <w:b w:val="false"/>
          <w:i w:val="false"/>
          <w:color w:val="000000"/>
          <w:sz w:val="22"/>
        </w:rPr>
        <w:t>(17A,147,272C). A licensee whose license was reactivated during the current renewal compliance period may use continuing education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is required by Iowa Code section </w:t>
      </w:r>
      <w:hyperlink r:id="rId22">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to report child abuse shall indicate on the renewal application completion of training in child abuse identification and reporting as required by Iowa Code section </w:t>
      </w:r>
      <w:hyperlink r:id="rId23">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is required by Iowa Code section </w:t>
      </w:r>
      <w:hyperlink r:id="rId24">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or </w:t>
      </w:r>
      <w:hyperlink r:id="rId25">
        <w:r>
          <w:rPr>
            <w:rStyle w:val="Hyperlink"/>
            <w:rFonts w:ascii="Times New Roman" w:hAnsi="Times New Roman"/>
            <w:b w:val="false"/>
            <w:i w:val="false"/>
            <w:color w:val="000000"/>
            <w:sz w:val="22"/>
          </w:rPr>
          <w:t>235E.2</w:t>
        </w:r>
      </w:hyperlink>
      <w:r>
        <w:rPr>
          <w:rFonts w:ascii="Times New Roman" w:hAnsi="Times New Roman"/>
          <w:b w:val="false"/>
          <w:i w:val="false"/>
          <w:color w:val="000000"/>
          <w:sz w:val="22"/>
        </w:rPr>
        <w:t xml:space="preserve"> to report dependent adult abuse shall indicate on the renewal application completion of training in dependent adult abuse identification and reporting as required by Iowa Code section </w:t>
      </w:r>
      <w:hyperlink r:id="rId26">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course(s) shall be the curriculum provided by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written documentation for three years after mandatory training as identified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an occupational or mental disability or illness as identified in </w:t>
      </w:r>
      <w:hyperlink r:id="rId27">
        <w:r>
          <w:rPr>
            <w:rStyle w:val="Hyperlink"/>
            <w:rFonts w:ascii="Times New Roman" w:hAnsi="Times New Roman"/>
            <w:b w:val="false"/>
            <w:i w:val="false"/>
            <w:color w:val="000000"/>
            <w:sz w:val="22"/>
          </w:rPr>
          <w:t>481—Chapter 500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804.8(6)</w:t>
      </w:r>
      <w:r>
        <w:rPr>
          <w:rFonts w:ascii="Times New Roman" w:hAnsi="Times New Roman"/>
          <w:b w:val="false"/>
          <w:i w:val="false"/>
          <w:color w:val="000000"/>
          <w:sz w:val="22"/>
        </w:rPr>
        <w:t> </w:t>
      </w:r>
      <w:r>
        <w:rPr>
          <w:rFonts w:ascii="Times New Roman" w:hAnsi="Times New Roman"/>
          <w:b w:val="false"/>
          <w:i w:val="false"/>
          <w:color w:val="000000"/>
          <w:sz w:val="22"/>
        </w:rPr>
        <w:t>Persons licensed to practice as occupational therapists or occupational therapy assistants shall keep their renewal licenses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a late license when the license has not been renewed by the expiration date on the renewal. The licensee shall be assessed a late fee as specified in </w:t>
      </w:r>
      <w:hyperlink r:id="rId28">
        <w:r>
          <w:rPr>
            <w:rStyle w:val="Hyperlink"/>
            <w:rFonts w:ascii="Times New Roman" w:hAnsi="Times New Roman"/>
            <w:b w:val="false"/>
            <w:i w:val="false"/>
            <w:color w:val="000000"/>
            <w:sz w:val="22"/>
          </w:rPr>
          <w:t>481—subrule 507.11(4)</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an occupational therapist or occupational therapy assistant in Iowa until the license is reactivated. A licensee who practices as an occupational therapist or occupational therapy assistant in the state of Iowa with an inactive license may be subject to disciplinary action by the board, injunctive action pursuant to Iowa Code section </w:t>
      </w:r>
      <w:hyperlink r:id="rId29">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30">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804.8(9)</w:t>
      </w:r>
      <w:r>
        <w:rPr>
          <w:rFonts w:ascii="Times New Roman" w:hAnsi="Times New Roman"/>
          <w:b w:val="false"/>
          <w:i w:val="false"/>
          <w:color w:val="000000"/>
          <w:sz w:val="22"/>
        </w:rPr>
        <w:t> </w:t>
      </w:r>
      <w:r>
        <w:rPr>
          <w:rFonts w:ascii="Times New Roman" w:hAnsi="Times New Roman"/>
          <w:b w:val="false"/>
          <w:i w:val="false"/>
          <w:color w:val="000000"/>
          <w:sz w:val="22"/>
        </w:rPr>
        <w:t>Compact eligibility review. This rule applies to licensees who were licensed prior to adoption of this rule. In order to complete the compact eligibility review, at or prior to the next renewal, a licensee must submit required waivers and fingerprints pursuant to the board-approved process to facilitate a national criminal history background check. The cost for the evaluation of the fingerprint packet and the DCI and FBI criminal history background checks will be assessed to the applicant. The board may withhold issuing a license pending receipt of a report from the DCI and FBI.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0501D</w:t>
      </w:r>
      <w:r>
        <w:rPr>
          <w:rFonts w:ascii="Times New Roman" w:hAnsi="Times New Roman"/>
          <w:b w:val="false"/>
          <w:i w:val="false"/>
          <w:color w:val="000000"/>
          <w:sz w:val="16"/>
        </w:rPr>
        <w:t>, IAB 8/19/26, effective 7/1/27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804.9(1)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 on a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804.9(2)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w:t>
      </w:r>
      <w:hyperlink r:id="rId31">
        <w:r>
          <w:rPr>
            <w:rStyle w:val="Hyperlink"/>
            <w:rFonts w:ascii="Times New Roman" w:hAnsi="Times New Roman"/>
            <w:b w:val="false"/>
            <w:i w:val="false"/>
            <w:color w:val="000000"/>
            <w:sz w:val="22"/>
          </w:rPr>
          <w:t>481—subrule 507.11(5)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804.9(3)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occupational therapy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15 hours of continuing education for an occupational therapy assistant and 30 hours of continuing education for an occupational therapist within two years of application for reactivation; or verification of active practice, consisting of a minimum of 2,080 hours, in another state or jurisdiction during the two years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the license from the jurisdiction in which the applicant has most recently been practicing during the time period the Iowa license was inactive, sent directly from the jurisdiction to the board office. Web-based verification may be substituted for verification from a jurisdiction’s board office if the verification includes: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30 hours of continuing education for an occupational therapy assistant and 60 hours of continuing education for an occupational therapist within two years of application for reactivation; verification of active practice, consisting of a minimum of 2,080 hours, in another state or jurisdiction during the two years preceding an application for reactivation; or evidence of successful completion of the professional examination required for initial licensure completed within one year prior to the submission of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804.9(4)</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inactive for two or more years and the licensee cannot provide verification of active practice, consisting of a minimum of 2,080 hours, in another state or jurisdiction during the two years preceding an application for reactivation, submit required waivers and fingerprints pursuant to the board-approved process to facilitate a national criminal history background check. The cost for the evaluation of the fingerprint packet and the DCI and FBI criminal history background checks will be assessed to the applicant. The board may withhold issuing a license pending receipt of a report from the DCI and FBI.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0501D</w:t>
      </w:r>
      <w:r>
        <w:rPr>
          <w:rFonts w:ascii="Times New Roman" w:hAnsi="Times New Roman"/>
          <w:b w:val="false"/>
          <w:i w:val="false"/>
          <w:color w:val="000000"/>
          <w:sz w:val="16"/>
        </w:rPr>
        <w:t>, IAB 8/19/26, effective 7/1/27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481—804.10</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32">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33">
        <w:r>
          <w:rPr>
            <w:rStyle w:val="Hyperlink"/>
            <w:rFonts w:ascii="Times New Roman" w:hAnsi="Times New Roman"/>
            <w:b w:val="false"/>
            <w:i w:val="false"/>
            <w:color w:val="000000"/>
            <w:sz w:val="22"/>
          </w:rPr>
          <w:t>481—804.9</w:t>
        </w:r>
      </w:hyperlink>
      <w:r>
        <w:rPr>
          <w:rFonts w:ascii="Times New Roman" w:hAnsi="Times New Roman"/>
          <w:b w:val="false"/>
          <w:i w:val="false"/>
          <w:color w:val="000000"/>
          <w:sz w:val="22"/>
        </w:rPr>
        <w:t>(17A,147,272C) prior to practicing occupational therapy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0501D</w:t>
      </w:r>
      <w:r>
        <w:rPr>
          <w:rFonts w:ascii="Times New Roman" w:hAnsi="Times New Roman"/>
          <w:b w:val="false"/>
          <w:i w:val="false"/>
          <w:color w:val="000000"/>
          <w:sz w:val="16"/>
        </w:rPr>
        <w:t>, IAB 8/19/26, effective 7/1/27</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2/14/02, Notice 10/3/01—published 3/6/02, effective 4/10/02]</w:t>
      </w:r>
    </w:p>
    <w:p>
      <w:pPr>
        <w:spacing w:before="0" w:after="0"/>
        <w:ind w:left="120"/>
        <w:jc w:val="center"/>
      </w:pPr>
      <w:r>
        <w:rPr>
          <w:rFonts w:ascii="Times New Roman" w:hAnsi="Times New Roman"/>
          <w:b w:val="false"/>
          <w:i w:val="false"/>
          <w:color w:val="000000"/>
          <w:sz w:val="21"/>
        </w:rPr>
        <w:t>[Filed 11/26/03, Notice 9/17/03—published 12/24/03, effective 1/28/04]</w:t>
      </w:r>
    </w:p>
    <w:p>
      <w:pPr>
        <w:spacing w:before="0" w:after="0"/>
        <w:ind w:left="120"/>
        <w:jc w:val="center"/>
      </w:pPr>
      <w:r>
        <w:rPr>
          <w:rFonts w:ascii="Times New Roman" w:hAnsi="Times New Roman"/>
          <w:b w:val="false"/>
          <w:i w:val="false"/>
          <w:color w:val="000000"/>
          <w:sz w:val="21"/>
        </w:rPr>
        <w:t>[Filed 8/22/05, Notice 6/22/05—published 9/14/05, effective 10/19/05]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5/19/06, Notice 3/29/06—published 6/21/06, effective 7/26/06]</w:t>
      </w:r>
    </w:p>
    <w:p>
      <w:pPr>
        <w:spacing w:before="0" w:after="0"/>
        <w:ind w:left="120"/>
        <w:jc w:val="center"/>
      </w:pPr>
      <w:r>
        <w:rPr>
          <w:rFonts w:ascii="Times New Roman" w:hAnsi="Times New Roman"/>
          <w:b w:val="false"/>
          <w:i w:val="false"/>
          <w:color w:val="000000"/>
          <w:sz w:val="21"/>
        </w:rPr>
        <w:t>[Filed 11/30/07, Notice 9/26/07—published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5/28/08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7/23/08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7644B</w:t>
      </w:r>
      <w:r>
        <w:rPr>
          <w:rFonts w:ascii="Times New Roman" w:hAnsi="Times New Roman"/>
          <w:b w:val="false"/>
          <w:i w:val="false"/>
          <w:color w:val="000000"/>
          <w:sz w:val="21"/>
        </w:rPr>
        <w:t xml:space="preserve"> (Notice ARC 7442B, IAB 12/17/08)</w:t>
      </w:r>
      <w:r>
        <w:rPr>
          <w:rFonts w:ascii="Times New Roman" w:hAnsi="Times New Roman"/>
          <w:b w:val="false"/>
          <w:i w:val="false"/>
          <w:color w:val="000000"/>
          <w:sz w:val="21"/>
        </w:rPr>
        <w:t>, IAB 3/25/09, effective 4/29/09]</w:t>
      </w:r>
    </w:p>
    <w:p>
      <w:pPr>
        <w:spacing w:before="0" w:after="0"/>
        <w:ind w:left="120"/>
        <w:jc w:val="center"/>
      </w:pPr>
      <w:r>
        <w:rPr>
          <w:rFonts w:ascii="Times New Roman" w:hAnsi="Times New Roman"/>
          <w:b w:val="false"/>
          <w:i w:val="false"/>
          <w:color w:val="000000"/>
          <w:sz w:val="21"/>
        </w:rPr>
        <w:t>[Filed ARC 0223C</w:t>
      </w:r>
      <w:r>
        <w:rPr>
          <w:rFonts w:ascii="Times New Roman" w:hAnsi="Times New Roman"/>
          <w:b w:val="false"/>
          <w:i w:val="false"/>
          <w:color w:val="000000"/>
          <w:sz w:val="21"/>
        </w:rPr>
        <w:t xml:space="preserve"> (Notice ARC 0134C, IAB 5/30/12)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ARC 3445C</w:t>
      </w:r>
      <w:r>
        <w:rPr>
          <w:rFonts w:ascii="Times New Roman" w:hAnsi="Times New Roman"/>
          <w:b w:val="false"/>
          <w:i w:val="false"/>
          <w:color w:val="000000"/>
          <w:sz w:val="21"/>
        </w:rPr>
        <w:t xml:space="preserve"> (Notice ARC 3221C, IAB 8/2/17)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3876C</w:t>
      </w:r>
      <w:r>
        <w:rPr>
          <w:rFonts w:ascii="Times New Roman" w:hAnsi="Times New Roman"/>
          <w:b w:val="false"/>
          <w:i w:val="false"/>
          <w:color w:val="000000"/>
          <w:sz w:val="21"/>
        </w:rPr>
        <w:t xml:space="preserve"> (Notice ARC 3762C, IAB 4/25/18)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5021C</w:t>
      </w:r>
      <w:r>
        <w:rPr>
          <w:rFonts w:ascii="Times New Roman" w:hAnsi="Times New Roman"/>
          <w:b w:val="false"/>
          <w:i w:val="false"/>
          <w:color w:val="000000"/>
          <w:sz w:val="21"/>
        </w:rPr>
        <w:t xml:space="preserve"> (Notice ARC 4785C, IAB 12/4/19)</w:t>
      </w:r>
      <w:r>
        <w:rPr>
          <w:rFonts w:ascii="Times New Roman" w:hAnsi="Times New Roman"/>
          <w:b w:val="false"/>
          <w:i w:val="false"/>
          <w:color w:val="000000"/>
          <w:sz w:val="21"/>
        </w:rPr>
        <w:t>, IAB 4/8/20, effective 6/1/20]</w:t>
      </w:r>
    </w:p>
    <w:p>
      <w:pPr>
        <w:spacing w:before="0" w:after="0"/>
        <w:ind w:left="120"/>
        <w:jc w:val="center"/>
      </w:pPr>
      <w:r>
        <w:rPr>
          <w:rFonts w:ascii="Times New Roman" w:hAnsi="Times New Roman"/>
          <w:b w:val="false"/>
          <w:i w:val="false"/>
          <w:color w:val="000000"/>
          <w:sz w:val="21"/>
        </w:rPr>
        <w:t>[Filed ARC 5072C</w:t>
      </w:r>
      <w:r>
        <w:rPr>
          <w:rFonts w:ascii="Times New Roman" w:hAnsi="Times New Roman"/>
          <w:b w:val="false"/>
          <w:i w:val="false"/>
          <w:color w:val="000000"/>
          <w:sz w:val="21"/>
        </w:rPr>
        <w:t xml:space="preserve"> (Notice ARC 4917C, IAB 2/12/20)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5758C</w:t>
      </w:r>
      <w:r>
        <w:rPr>
          <w:rFonts w:ascii="Times New Roman" w:hAnsi="Times New Roman"/>
          <w:b w:val="false"/>
          <w:i w:val="false"/>
          <w:color w:val="000000"/>
          <w:sz w:val="21"/>
        </w:rPr>
        <w:t xml:space="preserve"> (Notice ARC 5456C,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6985C</w:t>
      </w:r>
      <w:r>
        <w:rPr>
          <w:rFonts w:ascii="Times New Roman" w:hAnsi="Times New Roman"/>
          <w:b w:val="false"/>
          <w:i w:val="false"/>
          <w:color w:val="000000"/>
          <w:sz w:val="21"/>
        </w:rPr>
        <w:t xml:space="preserve"> (Notice ARC 6661C,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7982C</w:t>
      </w:r>
      <w:r>
        <w:rPr>
          <w:rFonts w:ascii="Times New Roman" w:hAnsi="Times New Roman"/>
          <w:b w:val="false"/>
          <w:i w:val="false"/>
          <w:color w:val="000000"/>
          <w:sz w:val="21"/>
        </w:rPr>
        <w:t xml:space="preserve"> (Notice ARC 7549C, IAB 1/24/24)</w:t>
      </w:r>
      <w:r>
        <w:rPr>
          <w:rFonts w:ascii="Times New Roman" w:hAnsi="Times New Roman"/>
          <w:b w:val="false"/>
          <w:i w:val="false"/>
          <w:color w:val="000000"/>
          <w:sz w:val="21"/>
        </w:rPr>
        <w:t>, IAB 5/15/24, effective 7/1/24]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0501D</w:t>
      </w:r>
      <w:r>
        <w:rPr>
          <w:rFonts w:ascii="Times New Roman" w:hAnsi="Times New Roman"/>
          <w:b w:val="false"/>
          <w:i w:val="false"/>
          <w:color w:val="000000"/>
          <w:sz w:val="21"/>
        </w:rPr>
        <w:t xml:space="preserve"> (Amended Notice ARC 9988C, IAB 1/21/26; </w:t>
      </w:r>
      <w:r>
        <w:rPr>
          <w:rFonts w:ascii="Times New Roman" w:hAnsi="Times New Roman"/>
          <w:b w:val="false"/>
          <w:i w:val="false"/>
          <w:color w:val="000000"/>
          <w:sz w:val="21"/>
        </w:rPr>
        <w:t>Notice ARC 9393C, IAB 7/9/25)</w:t>
      </w:r>
      <w:r>
        <w:rPr>
          <w:rFonts w:ascii="Times New Roman" w:hAnsi="Times New Roman"/>
          <w:b w:val="false"/>
          <w:i w:val="false"/>
          <w:color w:val="000000"/>
          <w:sz w:val="21"/>
        </w:rPr>
        <w:t>, IAB 8/19/26, effective 7/1/27]</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3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69.pdf" Type="http://schemas.openxmlformats.org/officeDocument/2006/relationships/hyperlink" Id="rId5"/>
    <Relationship TargetMode="External" Target="https://www.legis.iowa.gov/docs/ico/chapter/235B.16.pdf" Type="http://schemas.openxmlformats.org/officeDocument/2006/relationships/hyperlink" Id="rId6"/>
    <Relationship TargetMode="External" Target="https://www.legis.iowa.gov/docs/iac/rule/481.804.8.pdf" Type="http://schemas.openxmlformats.org/officeDocument/2006/relationships/hyperlink" Id="rId7"/>
    <Relationship TargetMode="External" Target="https://www.legis.iowa.gov/docs/iac/rule/481.506.31.pdf" Type="http://schemas.openxmlformats.org/officeDocument/2006/relationships/hyperlink" Id="rId8"/>
    <Relationship TargetMode="External" Target="https://www.legis.iowa.gov/docs/iac/rule/481.507.11.pdf" Type="http://schemas.openxmlformats.org/officeDocument/2006/relationships/hyperlink" Id="rId9"/>
    <Relationship TargetMode="External" Target="https://www.legis.iowa.gov/docs/iac/rule/481.804.2.pdf" Type="http://schemas.openxmlformats.org/officeDocument/2006/relationships/hyperlink" Id="rId10"/>
    <Relationship TargetMode="External" Target="https://www.legis.iowa.gov/docs/iac/chapter/481.806.pdf" Type="http://schemas.openxmlformats.org/officeDocument/2006/relationships/hyperlink" Id="rId11"/>
    <Relationship TargetMode="External" Target="https://www.legis.iowa.gov/docs/iac/chapter/481.807.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co/chapter/272C.pdf" Type="http://schemas.openxmlformats.org/officeDocument/2006/relationships/hyperlink" Id="rId14"/>
    <Relationship TargetMode="External" Target="https://www.legis.iowa.gov/docs/ico/chapter/147E.1.pdf" Type="http://schemas.openxmlformats.org/officeDocument/2006/relationships/hyperlink" Id="rId15"/>
    <Relationship TargetMode="External" Target="https://www.legis.iowa.gov/docs/iac/chapter/481.503.pdf" Type="http://schemas.openxmlformats.org/officeDocument/2006/relationships/hyperlink" Id="rId16"/>
    <Relationship TargetMode="External" Target="https://www.legis.iowa.gov/docs/iac/chapter/481.504.pdf" Type="http://schemas.openxmlformats.org/officeDocument/2006/relationships/hyperlink" Id="rId17"/>
    <Relationship TargetMode="External" Target="https://www.legis.iowa.gov/docs/iac/chapter/481.506.pdf" Type="http://schemas.openxmlformats.org/officeDocument/2006/relationships/hyperlink" Id="rId18"/>
    <Relationship TargetMode="External" Target="https://www.legis.iowa.gov/docs/ico/chapter/147E.1.pdf" Type="http://schemas.openxmlformats.org/officeDocument/2006/relationships/hyperlink" Id="rId19"/>
    <Relationship TargetMode="External" Target="https://www.legis.iowa.gov/docs/iac/rule/481.805.2.pdf" Type="http://schemas.openxmlformats.org/officeDocument/2006/relationships/hyperlink" Id="rId20"/>
    <Relationship TargetMode="External" Target="https://www.legis.iowa.gov/docs/iac/rule/481.804.9.pdf" Type="http://schemas.openxmlformats.org/officeDocument/2006/relationships/hyperlink" Id="rId21"/>
    <Relationship TargetMode="External" Target="https://www.legis.iowa.gov/docs/ico/chapter/232.69.pdf" Type="http://schemas.openxmlformats.org/officeDocument/2006/relationships/hyperlink" Id="rId22"/>
    <Relationship TargetMode="External" Target="https://www.legis.iowa.gov/docs/ico/chapter/232.69.pdf" Type="http://schemas.openxmlformats.org/officeDocument/2006/relationships/hyperlink" Id="rId23"/>
    <Relationship TargetMode="External" Target="https://www.legis.iowa.gov/docs/ico/chapter/235B.3.pdf" Type="http://schemas.openxmlformats.org/officeDocument/2006/relationships/hyperlink" Id="rId24"/>
    <Relationship TargetMode="External" Target="https://www.legis.iowa.gov/docs/ico/chapter/235E.2.pdf" Type="http://schemas.openxmlformats.org/officeDocument/2006/relationships/hyperlink" Id="rId25"/>
    <Relationship TargetMode="External" Target="https://www.legis.iowa.gov/docs/ico/chapter/235B.16.pdf" Type="http://schemas.openxmlformats.org/officeDocument/2006/relationships/hyperlink" Id="rId26"/>
    <Relationship TargetMode="External" Target="https://www.legis.iowa.gov/docs/iac/chapter/481.500.pdf" Type="http://schemas.openxmlformats.org/officeDocument/2006/relationships/hyperlink" Id="rId27"/>
    <Relationship TargetMode="External" Target="https://www.legis.iowa.gov/docs/iac/rule/481.507.11.pdf" Type="http://schemas.openxmlformats.org/officeDocument/2006/relationships/hyperlink" Id="rId28"/>
    <Relationship TargetMode="External" Target="https://www.legis.iowa.gov/docs/ico/chapter/147.83.pdf" Type="http://schemas.openxmlformats.org/officeDocument/2006/relationships/hyperlink" Id="rId29"/>
    <Relationship TargetMode="External" Target="https://www.legis.iowa.gov/docs/ico/chapter/147.86.pdf" Type="http://schemas.openxmlformats.org/officeDocument/2006/relationships/hyperlink" Id="rId30"/>
    <Relationship TargetMode="External" Target="https://www.legis.iowa.gov/docs/iac/rule/481.507.11.pdf" Type="http://schemas.openxmlformats.org/officeDocument/2006/relationships/hyperlink" Id="rId31"/>
    <Relationship TargetMode="External" Target="https://www.legis.iowa.gov/docs/iac/rule/481.506.31.pdf" Type="http://schemas.openxmlformats.org/officeDocument/2006/relationships/hyperlink" Id="rId32"/>
    <Relationship TargetMode="External" Target="https://www.legis.iowa.gov/docs/iac/rule/481.804.9.pdf" Type="http://schemas.openxmlformats.org/officeDocument/2006/relationships/hyperlink" Id="rId33"/>
    <Relationship TargetMode="External" Target="https://www.legis.iowa.gov/docs/ico/chapter/17A.pdf" Type="http://schemas.openxmlformats.org/officeDocument/2006/relationships/hyperlink" Id="rId34"/>
    <Relationship TargetMode="External" Target="https://www.legis.iowa.gov/docs/ico/chapter/147.pdf" Type="http://schemas.openxmlformats.org/officeDocument/2006/relationships/hyperlink" Id="rId35"/>
    <Relationship TargetMode="External" Target="https://www.legis.iowa.gov/docs/ico/chapter/148B.pdf" Type="http://schemas.openxmlformats.org/officeDocument/2006/relationships/hyperlink" Id="rId36"/>
    <Relationship TargetMode="External" Target="https://www.legis.iowa.gov/docs/ico/chapter/272C.pdf" Type="http://schemas.openxmlformats.org/officeDocument/2006/relationships/hyperlink" Id="rId37"/>
    <Relationship Target="footer.xml" Type="http://schemas.openxmlformats.org/officeDocument/2006/relationships/footer"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