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781</w:t>
      </w:r>
    </w:p>
    <w:p>
      <w:pPr>
        <w:spacing w:before="0" w:after="0"/>
        <w:ind w:left="120"/>
        <w:jc w:val="center"/>
      </w:pPr>
      <w:r>
        <w:rPr>
          <w:rFonts w:ascii="Times New Roman" w:hAnsi="Times New Roman"/>
          <w:b w:val="false"/>
          <w:i w:val="false"/>
          <w:color w:val="000000"/>
          <w:sz w:val="21"/>
        </w:rPr>
        <w:t>PRACTICE OF PHYSICIAN ASSOCIATES</w:t>
      </w:r>
    </w:p>
    <w:p>
      <w:pPr>
        <w:spacing w:before="0" w:after="0"/>
        <w:ind w:left="120"/>
        <w:jc w:val="center"/>
      </w:pPr>
      <w:r>
        <w:rPr>
          <w:rFonts w:ascii="Times New Roman" w:hAnsi="Times New Roman"/>
          <w:b w:val="false"/>
          <w:i w:val="false"/>
          <w:color w:val="000000"/>
          <w:sz w:val="14"/>
        </w:rPr>
        <w:t>[Prior to 8/7/02, see 645—325.6(148C) to 645—325.9(148C) and 645—325.18(148C)]</w:t>
      </w:r>
    </w:p>
    <w:p>
      <w:pPr>
        <w:spacing w:before="0" w:after="0"/>
        <w:ind w:left="120"/>
        <w:jc w:val="center"/>
      </w:pPr>
      <w:r>
        <w:rPr>
          <w:rFonts w:ascii="Times New Roman" w:hAnsi="Times New Roman"/>
          <w:b w:val="false"/>
          <w:i w:val="false"/>
          <w:color w:val="000000"/>
          <w:sz w:val="14"/>
        </w:rPr>
        <w:t>[Prior to 9/18/24, see Professional Licensure Division[645] Ch 327]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481—781.1</w:t>
      </w:r>
      <w:r>
        <w:rPr>
          <w:rFonts w:ascii="Times New Roman" w:hAnsi="Times New Roman"/>
          <w:b/>
          <w:i w:val="false"/>
          <w:color w:val="000000"/>
          <w:sz w:val="22"/>
        </w:rPr>
        <w:t xml:space="preserve">(148C,88GA,ch1020) </w:t>
      </w:r>
      <w:r>
        <w:rPr>
          <w:rFonts w:ascii="Times New Roman" w:hAnsi="Times New Roman"/>
          <w:b/>
          <w:i w:val="false"/>
          <w:color w:val="000000"/>
          <w:sz w:val="22"/>
        </w:rPr>
        <w:t xml:space="preserve">Duties. </w:t>
      </w:r>
      <w:r>
        <w:rPr>
          <w:rFonts w:ascii="Times New Roman" w:hAnsi="Times New Roman"/>
          <w:b w:val="false"/>
          <w:i w:val="false"/>
          <w:color w:val="000000"/>
          <w:sz w:val="22"/>
        </w:rPr>
        <w:t>The medical services to be provided by the physician associate are those for which the physician associate has been prepared by education, training, or experience and is competent to perform. The ultimate role of the physician associate cannot be rigidly defined because of the variations in practice requirements due to geographic, economic, and sociologic factors. The high degree of responsibility a physician associate may assume requires that, at the conclusion of the formal education, the physician associate possess the knowledge, skills, and abilities necessary to provide those services appropriate to the practice setting. The physician associate’s services may be utilized in any clinical settings including but not limited to offices, ambulatory clinics, hospitals, patient’s homes, extended care facilities, and nursing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A physician associate’s duties relating to prescribing, dispensing, ordering, administering, and procuring drugs and medical devices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Administering any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Prescribing, dispensing, ordering, administering, and procuring drugs and medical devices. A physician associate may plan and initiate a therapeutic regimen that includes ordering and prescribing nonpharmacological interventions, including but not limited to durable medical equipment, nutrition, blood and blood products, and diagnostic support services, including but not limited to home health care, hospice, and physical and occupational therapy. The prescribing and dispensing of drugs may include Schedule II through V substances, as described in Iowa Code chapter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and all legend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associate may prescribe drugs and medical devices subject to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will have passed the national certifying examination conducted by the National Commission on Certification of Physician Assistants or its successor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must comply with appropriate federal and state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physician associate prescribes or dispenses controlled substances, the physician associate must register with the federal Drug Enforcement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associate may prescribe or order Schedule II controlled substances that are listed as depressants in Iowa Code chapter </w:t>
      </w:r>
      <w:hyperlink r:id="rId6">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may prescribe, supply, and administer drugs and medical devices in all settings, including but not limited to hospitals, health care facilities, health care institutions, hospice, clinics, offices, health maintenance organizations, and outpatient and emergency care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physician associate may request, receive, and supply sample drugs and medical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Supplying properly packaged and labeled prescription drugs, controlled substances, or medical devices when pharmacist services are not reasonably available or when it is in the best interest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physician associate is the prescriber of the medications supplied pursuant to this paragraph, the medications supplied will be for the purpose of accommodating the patient and will not be sold for more than the cost of the drug and reasonable overhead costs as they relate to supplying prescription drugs to the patient and not at a profit to the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nurse or staff assistant may assist the physician associate in supplying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The medical services to be provided by the physician associate also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approach to a patient of any age group in any setting to elicit a medical history and perform a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treatment of medical or surgical problems and recording the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Order, interpret, or perform laboratory tests, X-rays or other medical procedures or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Performance of therapeutic procedures such as injections, immunizations, suturing and care of wounds, removal of foreign bodies, ear and eye irrigation and other clinical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Performance of office surgical procedures including, but not limited to, skin biopsy, mole or wart removal, toenail removal, removal of a foreign body, arthrocentesis, incision and drainage of abscesses.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in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Prenatal and postnatal care and assisting a physician in obstetrical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Care of orthopedic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Performing and screening the results of special medical examinations including, but not limited to, electrocardiogram or Holter monitoring, radiography, audiometric and vision screening, tonometry, and pulmonary function screening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Instruction and counseling of patients regarding physical and mental health on matters such as diets, disease, therapy, and normal growth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Function in the hospital setting by performing medical histories and physical examinations, making patient rounds, recording patient progress notes and other appropriate medical records, assisting in surgery, performing or assisting with medical procedures, providing emergency medical services and issuing, transmitting and executing patient care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Providing services to patients requiring continuing care (i.e., home, nursing home, extended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Referring patients to specialty or subspecialty physicians, medical facilities or social agencies as indicated by the patients’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Immediate evaluation, treatment and institution of procedures essential to providing an appropriate response to emergency medical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Order drugs and supplies in the office, and assist in keeping records and in the upkeep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Admit patients to a hospital or health care facility as defined in Iowa Code section </w:t>
      </w:r>
      <w:hyperlink r:id="rId7">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Order diets, physical therapy, inhalation therapy, or other rehabilitative services as indicated by the patient’s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At the request of the peace officer, withdraw a specimen of blood from a patient for the purpose of determining the alcohol concentration or the presence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Direct medical personnel, health professionals, and others involved in caring for patients and the execution of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Authenticate a medical form by signing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Perform other duties appropriate to a physician associate’s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Health care providers will consider the instructions of a physician associate to be authoritative.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Emergency medicine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associate may be a member of the staff of an ambulance or rescue squad pursuant to Iowa Code chapter </w:t>
      </w:r>
      <w:hyperlink r:id="rId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will document skills, training and education equivalent to that required of a certified advanced emergency medical technician or a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associate must apply for approval of advanced care training equivalency on forms supplied by the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Exceptions to this subrule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who accompanies and is responsible for a transfer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who serves on a basic ambulance or rescue squad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who renders aid within the physician associate’s skills during an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481—781.2</w:t>
      </w:r>
      <w:r>
        <w:rPr>
          <w:rFonts w:ascii="Times New Roman" w:hAnsi="Times New Roman"/>
          <w:b/>
          <w:i w:val="false"/>
          <w:color w:val="000000"/>
          <w:sz w:val="22"/>
        </w:rPr>
        <w:t xml:space="preserve">(148C) </w:t>
      </w:r>
      <w:r>
        <w:rPr>
          <w:rFonts w:ascii="Times New Roman" w:hAnsi="Times New Roman"/>
          <w:b/>
          <w:i w:val="false"/>
          <w:color w:val="000000"/>
          <w:sz w:val="22"/>
        </w:rPr>
        <w:t xml:space="preserve">Prohibition. </w:t>
      </w:r>
      <w:r>
        <w:rPr>
          <w:rFonts w:ascii="Times New Roman" w:hAnsi="Times New Roman"/>
          <w:b w:val="false"/>
          <w:i w:val="false"/>
          <w:color w:val="000000"/>
          <w:sz w:val="22"/>
        </w:rPr>
        <w:t xml:space="preserve">No physician associate engaged in independent practice, as defined in Iowa Code section </w:t>
      </w:r>
      <w:hyperlink r:id="rId9">
        <w:r>
          <w:rPr>
            <w:rStyle w:val="Hyperlink"/>
            <w:rFonts w:ascii="Times New Roman" w:hAnsi="Times New Roman"/>
            <w:b w:val="false"/>
            <w:i w:val="false"/>
            <w:color w:val="000000"/>
            <w:sz w:val="22"/>
          </w:rPr>
          <w:t>148C.1(5)</w:t>
        </w:r>
      </w:hyperlink>
      <w:r>
        <w:rPr>
          <w:rFonts w:ascii="Times New Roman" w:hAnsi="Times New Roman"/>
          <w:b w:val="false"/>
          <w:i w:val="false"/>
          <w:color w:val="000000"/>
          <w:sz w:val="22"/>
        </w:rPr>
        <w:t>, will be permitted to measure the visual power and visual efficiency of the human eye, as distinguished from routine visual screening, except in the personal presence of a supervising physician at the place where these services are 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481—781.3</w:t>
      </w:r>
      <w:r>
        <w:rPr>
          <w:rFonts w:ascii="Times New Roman" w:hAnsi="Times New Roman"/>
          <w:b/>
          <w:i w:val="false"/>
          <w:color w:val="000000"/>
          <w:sz w:val="22"/>
        </w:rPr>
        <w:t xml:space="preserve">(147,88GA,ch1020) </w:t>
      </w:r>
      <w:r>
        <w:rPr>
          <w:rFonts w:ascii="Times New Roman" w:hAnsi="Times New Roman"/>
          <w:b/>
          <w:i w:val="false"/>
          <w:color w:val="000000"/>
          <w:sz w:val="22"/>
        </w:rPr>
        <w:t xml:space="preserve">Identification as a physician associate. </w:t>
      </w:r>
      <w:r>
        <w:rPr>
          <w:rFonts w:ascii="Times New Roman" w:hAnsi="Times New Roman"/>
          <w:b w:val="false"/>
          <w:i w:val="false"/>
          <w:color w:val="000000"/>
          <w:sz w:val="22"/>
        </w:rPr>
        <w:t>The physician associate will be identified as a physician associate to patients and to the public, regardless of the physician associate’s educational degree.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481—781.4</w:t>
      </w:r>
      <w:r>
        <w:rPr>
          <w:rFonts w:ascii="Times New Roman" w:hAnsi="Times New Roman"/>
          <w:b/>
          <w:i w:val="false"/>
          <w:color w:val="000000"/>
          <w:sz w:val="22"/>
        </w:rPr>
        <w:t xml:space="preserve">(147) </w:t>
      </w:r>
      <w:r>
        <w:rPr>
          <w:rFonts w:ascii="Times New Roman" w:hAnsi="Times New Roman"/>
          <w:b/>
          <w:i w:val="false"/>
          <w:color w:val="000000"/>
          <w:sz w:val="22"/>
        </w:rPr>
        <w:t xml:space="preserve">Prescription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781.4(1)</w:t>
      </w:r>
      <w:r>
        <w:rPr>
          <w:rFonts w:ascii="Times New Roman" w:hAnsi="Times New Roman"/>
          <w:b w:val="false"/>
          <w:i w:val="false"/>
          <w:color w:val="000000"/>
          <w:sz w:val="22"/>
        </w:rPr>
        <w:t> </w:t>
      </w:r>
      <w:r>
        <w:rPr>
          <w:rFonts w:ascii="Times New Roman" w:hAnsi="Times New Roman"/>
          <w:b w:val="false"/>
          <w:i w:val="false"/>
          <w:color w:val="000000"/>
          <w:sz w:val="22"/>
        </w:rPr>
        <w:t>Each written outpatient prescription drug order issued by a physician associate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patient for whom the drug is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drug, medicine, or device prescribed and directions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associate’s name and the practice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of the physician associate followed by the initials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Drug Enforcement Administration (DEA) number of the physician associate if the prescription is for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781.4(2)</w:t>
      </w:r>
      <w:r>
        <w:rPr>
          <w:rFonts w:ascii="Times New Roman" w:hAnsi="Times New Roman"/>
          <w:b w:val="false"/>
          <w:i w:val="false"/>
          <w:color w:val="000000"/>
          <w:sz w:val="22"/>
        </w:rPr>
        <w:t> </w:t>
      </w:r>
      <w:r>
        <w:rPr>
          <w:rFonts w:ascii="Times New Roman" w:hAnsi="Times New Roman"/>
          <w:b w:val="false"/>
          <w:i w:val="false"/>
          <w:color w:val="000000"/>
          <w:sz w:val="22"/>
        </w:rPr>
        <w:t>Each oral prescription drug order issued by a physician associate will include the same information required for a written prescription, except for the written signature of the physician associate and the physician associate’s practice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781.4(3)</w:t>
      </w:r>
      <w:r>
        <w:rPr>
          <w:rFonts w:ascii="Times New Roman" w:hAnsi="Times New Roman"/>
          <w:b w:val="false"/>
          <w:i w:val="false"/>
          <w:color w:val="000000"/>
          <w:sz w:val="22"/>
        </w:rPr>
        <w:t> </w:t>
      </w:r>
      <w:r>
        <w:rPr>
          <w:rFonts w:ascii="Times New Roman" w:hAnsi="Times New Roman"/>
          <w:b w:val="false"/>
          <w:i w:val="false"/>
          <w:color w:val="000000"/>
          <w:sz w:val="22"/>
        </w:rPr>
        <w:t>Prior to prescribing an opioid, a physician associate will review the patient’s information contained in the prescription monitoring program database, unless the patient is receiving inpatient hospice care or long-term residential facility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781.4(4)</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January 1, 2020, every prescription issued for a prescription drug will be transmitted electronically unless exempted pursuant to Iowa Code section </w:t>
      </w:r>
      <w:hyperlink r:id="rId10">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Beginning January 1, 2020, a licensee who fails to comply with the electronic prescription mandate may be subject to a nondisciplinary administrative penalty of $250 per violation, up to a maximum of $5,000 per calendar year.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481—781.5</w:t>
      </w:r>
      <w:r>
        <w:rPr>
          <w:rFonts w:ascii="Times New Roman" w:hAnsi="Times New Roman"/>
          <w:b/>
          <w:i w:val="false"/>
          <w:color w:val="000000"/>
          <w:sz w:val="22"/>
        </w:rPr>
        <w:t xml:space="preserve">(147) </w:t>
      </w:r>
      <w:r>
        <w:rPr>
          <w:rFonts w:ascii="Times New Roman" w:hAnsi="Times New Roman"/>
          <w:b/>
          <w:i w:val="false"/>
          <w:color w:val="000000"/>
          <w:sz w:val="22"/>
        </w:rPr>
        <w:t xml:space="preserve">Supplying—requirements for containers, labeling,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781.5(1)</w:t>
      </w:r>
      <w:r>
        <w:rPr>
          <w:rFonts w:ascii="Times New Roman" w:hAnsi="Times New Roman"/>
          <w:b w:val="false"/>
          <w:i w:val="false"/>
          <w:color w:val="000000"/>
          <w:sz w:val="22"/>
        </w:rPr>
        <w:t> </w:t>
      </w:r>
      <w:r>
        <w:rPr>
          <w:rFonts w:ascii="Times New Roman" w:hAnsi="Times New Roman"/>
          <w:b w:val="false"/>
          <w:i/>
          <w:color w:val="000000"/>
          <w:sz w:val="22"/>
        </w:rPr>
        <w:t xml:space="preserve">Containers. </w:t>
      </w:r>
      <w:r>
        <w:rPr>
          <w:rFonts w:ascii="Times New Roman" w:hAnsi="Times New Roman"/>
          <w:b w:val="false"/>
          <w:i w:val="false"/>
          <w:color w:val="000000"/>
          <w:sz w:val="22"/>
        </w:rPr>
        <w:t>A prescription drug will be supplied in a container that meets the requirements of the Poison Prevention Packaging Act of 1970, 15 U.S.C. §1471-1476 (1976), which relate to childproof closure, unless otherwise requested by the patient. The containers must also meet the requirements of Section 502G of the Federal Food, Drug and Cosmetic Act, 21 U.S.C. §301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(1976), which pertain to light resistance and moisture resistance needs of the drug supplied.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781.5(2)</w:t>
      </w:r>
      <w:r>
        <w:rPr>
          <w:rFonts w:ascii="Times New Roman" w:hAnsi="Times New Roman"/>
          <w:b w:val="false"/>
          <w:i w:val="false"/>
          <w:color w:val="000000"/>
          <w:sz w:val="22"/>
        </w:rPr>
        <w:t> </w:t>
      </w:r>
      <w:r>
        <w:rPr>
          <w:rFonts w:ascii="Times New Roman" w:hAnsi="Times New Roman"/>
          <w:b w:val="false"/>
          <w:i/>
          <w:color w:val="000000"/>
          <w:sz w:val="22"/>
        </w:rPr>
        <w:t xml:space="preserve">Labeling. </w:t>
      </w:r>
      <w:r>
        <w:rPr>
          <w:rFonts w:ascii="Times New Roman" w:hAnsi="Times New Roman"/>
          <w:b w:val="false"/>
          <w:i w:val="false"/>
          <w:color w:val="000000"/>
          <w:sz w:val="22"/>
        </w:rPr>
        <w:t>A label bearing the following information will be affixed to a container in which a prescription drug is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practice address of the supervising physician and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directions for administering the prescription drug and any cautionary statement deemed appropriate by the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prescription drug 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supplying Schedule II, III, or IV controlled substances, the federal transfer warning statement must appear on the label as follows: “Caution: Federal law prohibits the transfer of this drug to any person other than the patient for whom it was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781.5(3)</w:t>
      </w:r>
      <w:r>
        <w:rPr>
          <w:rFonts w:ascii="Times New Roman" w:hAnsi="Times New Roman"/>
          <w:b w:val="false"/>
          <w:i w:val="false"/>
          <w:color w:val="000000"/>
          <w:sz w:val="22"/>
        </w:rPr>
        <w:t> </w:t>
      </w:r>
      <w:r>
        <w:rPr>
          <w:rFonts w:ascii="Times New Roman" w:hAnsi="Times New Roman"/>
          <w:b w:val="false"/>
          <w:i/>
          <w:color w:val="000000"/>
          <w:sz w:val="22"/>
        </w:rPr>
        <w:t xml:space="preserve">Samples. </w:t>
      </w:r>
      <w:r>
        <w:rPr>
          <w:rFonts w:ascii="Times New Roman" w:hAnsi="Times New Roman"/>
          <w:b w:val="false"/>
          <w:i w:val="false"/>
          <w:color w:val="000000"/>
          <w:sz w:val="22"/>
        </w:rPr>
        <w:t>Prescription sample drugs will be provided without additional charge to the patient. Prescription sample drugs supplied in the original container or package will be deemed to conform to labeling and packaging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781.5(4)</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A record of prescription drugs supplied by the physician associate to a patient will be kept that contains the label information required by paragraphs </w:t>
      </w:r>
      <w:r>
        <w:rPr>
          <w:rFonts w:ascii="Times New Roman" w:hAnsi="Times New Roman"/>
          <w:b w:val="false"/>
          <w:i w:val="false"/>
          <w:color w:val="000000"/>
          <w:sz w:val="22"/>
        </w:rPr>
        <w:t>781.7(2)</w:t>
      </w:r>
      <w:r>
        <w:rPr>
          <w:rFonts w:ascii="Times New Roman" w:hAnsi="Times New Roman"/>
          <w:b w:val="false"/>
          <w:i/>
          <w:color w:val="000000"/>
          <w:sz w:val="22"/>
        </w:rPr>
        <w:t xml:space="preserve">“b” </w:t>
      </w:r>
      <w:r>
        <w:rPr>
          <w:rFonts w:ascii="Times New Roman" w:hAnsi="Times New Roman"/>
          <w:b w:val="false"/>
          <w:i w:val="false"/>
          <w:color w:val="000000"/>
          <w:sz w:val="22"/>
        </w:rPr>
        <w:t xml:space="preserve">through </w:t>
      </w:r>
      <w:r>
        <w:rPr>
          <w:rFonts w:ascii="Times New Roman" w:hAnsi="Times New Roman"/>
          <w:b w:val="false"/>
          <w:i/>
          <w:color w:val="000000"/>
          <w:sz w:val="22"/>
        </w:rPr>
        <w:t>“e.”</w:t>
      </w:r>
      <w:r>
        <w:rPr>
          <w:rFonts w:ascii="Times New Roman" w:hAnsi="Times New Roman"/>
          <w:b w:val="false"/>
          <w:i w:val="false"/>
          <w:color w:val="000000"/>
          <w:sz w:val="22"/>
        </w:rPr>
        <w:t xml:space="preserve"> Noting such information on the patient’s chart or record is sufficient.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481—781.6</w:t>
      </w:r>
      <w:r>
        <w:rPr>
          <w:rFonts w:ascii="Times New Roman" w:hAnsi="Times New Roman"/>
          <w:b/>
          <w:i w:val="false"/>
          <w:color w:val="000000"/>
          <w:sz w:val="22"/>
        </w:rPr>
        <w:t xml:space="preserve">(147,148C,272C) </w:t>
      </w:r>
      <w:r>
        <w:rPr>
          <w:rFonts w:ascii="Times New Roman" w:hAnsi="Times New Roman"/>
          <w:b/>
          <w:i w:val="false"/>
          <w:color w:val="000000"/>
          <w:sz w:val="22"/>
        </w:rPr>
        <w:t xml:space="preserve">Standards of practice—telemedicine. </w:t>
      </w:r>
      <w:r>
        <w:rPr>
          <w:rFonts w:ascii="Times New Roman" w:hAnsi="Times New Roman"/>
          <w:b w:val="false"/>
          <w:i w:val="false"/>
          <w:color w:val="000000"/>
          <w:sz w:val="22"/>
        </w:rPr>
        <w:t>This rule establishes standards of practice for the provision of telemedicine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w:t>
      </w:r>
      <w:r>
        <w:rPr>
          <w:rFonts w:ascii="Times New Roman" w:hAnsi="Times New Roman"/>
          <w:b w:val="false"/>
          <w:i w:val="false"/>
          <w:color w:val="000000"/>
          <w:sz w:val="22"/>
        </w:rPr>
        <w:t> </w:t>
      </w:r>
      <w:r>
        <w:rPr>
          <w:rFonts w:ascii="Times New Roman" w:hAnsi="Times New Roman"/>
          <w:b w:val="false"/>
          <w:i/>
          <w:color w:val="000000"/>
          <w:sz w:val="22"/>
        </w:rPr>
        <w:t xml:space="preserve">Telemedicine, generally.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Technological advances have made it possible for licensees in one location to provide medical care to patients in another location with or without an intervening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Telemedicine is a useful tool that, if applied appropriately, can provide important benefits to patients, including increased access to health care, expanded utilization of specialty expertise, rapid availability of patient records, and potential cost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using telemedicine will be held to the same standards of care and professional ethics as licensees using traditional in-person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conform to the appropriate standards of care or professional ethics while using telemedicine may subject the licensee to potential discipline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purposes of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“Asynchronous store-and-forward transmission”</w:t>
      </w:r>
      <w:r>
        <w:rPr>
          <w:rFonts w:ascii="Times New Roman" w:hAnsi="Times New Roman"/>
          <w:b w:val="false"/>
          <w:i w:val="false"/>
          <w:color w:val="000000"/>
          <w:sz w:val="22"/>
        </w:rPr>
        <w:t>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Iowa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“HIPAA”</w:t>
      </w:r>
      <w:r>
        <w:rPr>
          <w:rFonts w:ascii="Times New Roman" w:hAnsi="Times New Roman"/>
          <w:b w:val="false"/>
          <w:i w:val="false"/>
          <w:color w:val="000000"/>
          <w:sz w:val="22"/>
        </w:rPr>
        <w:t> </w:t>
      </w:r>
      <w:r>
        <w:rPr>
          <w:rFonts w:ascii="Times New Roman" w:hAnsi="Times New Roman"/>
          <w:b w:val="false"/>
          <w:i w:val="false"/>
          <w:color w:val="000000"/>
          <w:sz w:val="22"/>
        </w:rPr>
        <w:t>means the Health Insurance Portability and Accountability Act of 1996, PL 104-191, August 21, 1996, 110 Stat. 1936.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“In-person encounter”</w:t>
      </w:r>
      <w:r>
        <w:rPr>
          <w:rFonts w:ascii="Times New Roman" w:hAnsi="Times New Roman"/>
          <w:b w:val="false"/>
          <w:i w:val="false"/>
          <w:color w:val="000000"/>
          <w:sz w:val="22"/>
        </w:rPr>
        <w:t> </w:t>
      </w:r>
      <w:r>
        <w:rPr>
          <w:rFonts w:ascii="Times New Roman" w:hAnsi="Times New Roman"/>
          <w:b w:val="false"/>
          <w:i w:val="false"/>
          <w:color w:val="000000"/>
          <w:sz w:val="22"/>
        </w:rPr>
        <w:t>means that the physician associate and the patient are in the physical presence of each other and are in the same physical location during the physician associate-patient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physician associate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“Telemedicine”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practice of medicine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Telemedicine includes asynchronous store-and-forward technologies, remote monitoring, and real-time interactive services, including teleradiology and telepathology. Telemedicine, for the purposes of this rule establishing standards of practice, does not include the provision of medical services only through an audio-only telephone, email messages, facsimile transmissions, or U.S. mail or other parcel service, or any combination thereof.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“Telemedicine technologies”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technologies and devices enabling secure electronic communications and information exchanges between a licensee in one location and a patient in another location with or without an intervening health care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781.6(3)</w:t>
      </w:r>
      <w:r>
        <w:rPr>
          <w:rFonts w:ascii="Times New Roman" w:hAnsi="Times New Roman"/>
          <w:b w:val="false"/>
          <w:i w:val="false"/>
          <w:color w:val="000000"/>
          <w:sz w:val="22"/>
        </w:rPr>
        <w:t> </w:t>
      </w:r>
      <w:r>
        <w:rPr>
          <w:rFonts w:ascii="Times New Roman" w:hAnsi="Times New Roman"/>
          <w:b w:val="false"/>
          <w:i/>
          <w:color w:val="000000"/>
          <w:sz w:val="22"/>
        </w:rPr>
        <w:t xml:space="preserve">Practice guidelines. </w:t>
      </w:r>
      <w:r>
        <w:rPr>
          <w:rFonts w:ascii="Times New Roman" w:hAnsi="Times New Roman"/>
          <w:b w:val="false"/>
          <w:i w:val="false"/>
          <w:color w:val="000000"/>
          <w:sz w:val="22"/>
        </w:rPr>
        <w:t xml:space="preserve">A licensee who uses telemedicine will utilize evidence-based telemedicine practice guidelines and standards of practice, to the degree they are available, to ensure patient safety, quality of care, and positive outcomes. The board acknowledges that some nationally recognized medical specialty organizations have established comprehensive telemedicine practice guidelines that address the clinical and technological aspects of telemedicine for many medical specialties.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781.6(4)</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 xml:space="preserve">A physician associate who uses telemedicine in the diagnosis and treatment of a patient located in Iowa will hold an active Iowa physician associate license consistent with state and federal laws. Nothing in this rule will be construed to supersede the exceptions to licensure contained in rule </w:t>
      </w:r>
      <w:hyperlink r:id="rId12">
        <w:r>
          <w:rPr>
            <w:rStyle w:val="Hyperlink"/>
            <w:rFonts w:ascii="Times New Roman" w:hAnsi="Times New Roman"/>
            <w:b w:val="false"/>
            <w:i w:val="false"/>
            <w:color w:val="000000"/>
            <w:sz w:val="22"/>
          </w:rPr>
          <w:t>481—780.17</w:t>
        </w:r>
      </w:hyperlink>
      <w:r>
        <w:rPr>
          <w:rFonts w:ascii="Times New Roman" w:hAnsi="Times New Roman"/>
          <w:b w:val="false"/>
          <w:i w:val="false"/>
          <w:color w:val="000000"/>
          <w:sz w:val="22"/>
        </w:rPr>
        <w:t>(148C).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781.6(5)</w:t>
      </w:r>
      <w:r>
        <w:rPr>
          <w:rFonts w:ascii="Times New Roman" w:hAnsi="Times New Roman"/>
          <w:b w:val="false"/>
          <w:i w:val="false"/>
          <w:color w:val="000000"/>
          <w:sz w:val="22"/>
        </w:rPr>
        <w:t> </w:t>
      </w:r>
      <w:r>
        <w:rPr>
          <w:rFonts w:ascii="Times New Roman" w:hAnsi="Times New Roman"/>
          <w:b w:val="false"/>
          <w:i/>
          <w:color w:val="000000"/>
          <w:sz w:val="22"/>
        </w:rPr>
        <w:t xml:space="preserve">Standards of care and professional ethics. </w:t>
      </w:r>
      <w:r>
        <w:rPr>
          <w:rFonts w:ascii="Times New Roman" w:hAnsi="Times New Roman"/>
          <w:b w:val="false"/>
          <w:i w:val="false"/>
          <w:color w:val="000000"/>
          <w:sz w:val="22"/>
        </w:rPr>
        <w:t xml:space="preserve">A licensee who uses telemedicine will be held to the same standards of care and professional ethics as a licensee using traditional in-person encounters with patients. Failure to conform to the appropriate standards of care or professional ethics while using telemedicine may be a violation of the laws and rules governing the practice of medicine and may subject the licensee to potential discipline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781.6(6)</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 xml:space="preserve">A licensee who uses telemedicine will ensure that the services provided are consistent with the licensee’s scope of practice, including the licensee’s education, training, experience, ability, licensure, and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781.6(7)</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patient and physician associate. </w:t>
      </w:r>
      <w:r>
        <w:rPr>
          <w:rFonts w:ascii="Times New Roman" w:hAnsi="Times New Roman"/>
          <w:b w:val="false"/>
          <w:i w:val="false"/>
          <w:color w:val="000000"/>
          <w:sz w:val="22"/>
        </w:rPr>
        <w:t>A licensee who uses telemedicine will verify the identity of the patient and ensure that the patient has the ability to verify the identity, licensure status, certification, and credentials of all health care providers who provide telemedicine services prior to the provision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781.6(8)</w:t>
      </w:r>
      <w:r>
        <w:rPr>
          <w:rFonts w:ascii="Times New Roman" w:hAnsi="Times New Roman"/>
          <w:b w:val="false"/>
          <w:i w:val="false"/>
          <w:color w:val="000000"/>
          <w:sz w:val="22"/>
        </w:rPr>
        <w:t> </w:t>
      </w:r>
      <w:r>
        <w:rPr>
          <w:rFonts w:ascii="Times New Roman" w:hAnsi="Times New Roman"/>
          <w:b w:val="false"/>
          <w:i/>
          <w:color w:val="000000"/>
          <w:sz w:val="22"/>
        </w:rPr>
        <w:t xml:space="preserve">Physician associate-patient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uses telemedicine will establish a valid physician associate-patient relationship with the person who receives telemedicine services. The physician associate-patient relationship begins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with a health-related matter seeks assistance from a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agrees to undertake diagnosis and treatment of the person;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agrees to be treated by the licensee whether or not there has been an in-person encounter between the physician associate and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valid physician associate-patient relationship may be established by: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In-person encounter. Through an in-person medical interview and physical examination where the standard of care would require an in-person encounter;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Consultation with another licensee. Through consultation with another licensee (or other health care provider) who has an established relationship with the patient and who agrees to participate in, or supervise, the patient’s care;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Telemedicine encounter. Through telemedicine, if the standard of care does not require an in-person encounter, and in accordance with evidence-based standards of practice and telemedicine practice guidelines that address the clinical and technological aspects of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781.6(9)</w:t>
      </w:r>
      <w:r>
        <w:rPr>
          <w:rFonts w:ascii="Times New Roman" w:hAnsi="Times New Roman"/>
          <w:b w:val="false"/>
          <w:i w:val="false"/>
          <w:color w:val="000000"/>
          <w:sz w:val="22"/>
        </w:rPr>
        <w:t> </w:t>
      </w:r>
      <w:r>
        <w:rPr>
          <w:rFonts w:ascii="Times New Roman" w:hAnsi="Times New Roman"/>
          <w:b w:val="false"/>
          <w:i/>
          <w:color w:val="000000"/>
          <w:sz w:val="22"/>
        </w:rPr>
        <w:t xml:space="preserve">Medical history and physical examination. </w:t>
      </w:r>
      <w:r>
        <w:rPr>
          <w:rFonts w:ascii="Times New Roman" w:hAnsi="Times New Roman"/>
          <w:b w:val="false"/>
          <w:i w:val="false"/>
          <w:color w:val="000000"/>
          <w:sz w:val="22"/>
        </w:rPr>
        <w:t>Generally, a licensee will perform an in-person medical interview and physical examination for each patient. However, the medical interview and physical examination may not be in person if the technology utilized in a telemedicine encounter is sufficient to establish an informed diagnosis as though the medical interview and physical examination had been performed in person. Prior to providing treatment, including issuing prescriptions, electronically or otherwise, a licensee who uses telemedicine will interview the patient to collect the relevant medical history and perform a physical examination, when medically necessary, sufficient for the diagnosis and treatment of the patient. An internet questionnaire that is a static set of questions provided to the patient, to which the patient responds with a static set of answers, in contrast to an adaptive, interactive and responsive online interview, does not constitute an acceptable medical interview and physical examination for the provision of treatment, including issuance of prescriptions, electronically or otherwise,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781.6(10)</w:t>
      </w:r>
      <w:r>
        <w:rPr>
          <w:rFonts w:ascii="Times New Roman" w:hAnsi="Times New Roman"/>
          <w:b w:val="false"/>
          <w:i w:val="false"/>
          <w:color w:val="000000"/>
          <w:sz w:val="22"/>
        </w:rPr>
        <w:t> </w:t>
      </w:r>
      <w:r>
        <w:rPr>
          <w:rFonts w:ascii="Times New Roman" w:hAnsi="Times New Roman"/>
          <w:b w:val="false"/>
          <w:i/>
          <w:color w:val="000000"/>
          <w:sz w:val="22"/>
        </w:rPr>
        <w:t xml:space="preserve">Non-physician associate health care providers. </w:t>
      </w:r>
      <w:r>
        <w:rPr>
          <w:rFonts w:ascii="Times New Roman" w:hAnsi="Times New Roman"/>
          <w:b w:val="false"/>
          <w:i w:val="false"/>
          <w:color w:val="000000"/>
          <w:sz w:val="22"/>
        </w:rPr>
        <w:t>If a licensee who uses telemedicine relies upon or delegates the provision of telemedicine services to a non-physician associate health care provider, the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systems are in place to ensure that the non-physician associate health care provider is qualified and trained to provide that service within the scope of the non-physician associate health care provider’s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the licensee is available in person or electronically to consult with the non-physician associate health care provider, particularly in the case of injury or an emergency.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781.6(11)</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licensee who uses telemedicine will ensure that the patient provides appropriate informed consent for the medical services provided, including consent for the use of telemedicine to diagnose and treat the patient,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781.6(12)</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care. </w:t>
      </w:r>
      <w:r>
        <w:rPr>
          <w:rFonts w:ascii="Times New Roman" w:hAnsi="Times New Roman"/>
          <w:b w:val="false"/>
          <w:i w:val="false"/>
          <w:color w:val="000000"/>
          <w:sz w:val="22"/>
        </w:rPr>
        <w:t>A licensee who uses telemedicine will, when medically appropriate, identify the medical home or treating clinician(s) for the patient, when available, where in-person services can be delivered in coordination with the telemedicine services. The licensee will provide a copy of the medical record to the patient’s medical home or treating clinician(s).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781.6(13)</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A licensee who uses telemedicine will have access to, or adequate knowledge of, the nature and availability of local medical resources to provide appropriate follow-up care to the patient following a telemedicine encounter.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781.6(14)</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A licensee who uses telemedicine will refer a patient to an acute care facility or an emergency department when referral is necessary for the safety of the patient or in the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781.6(15)</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 xml:space="preserve">A licensee who uses telemedicine will ensure that complete, accurate and timely medical records are maintained for the patient when appropriate, including all patient-related electronic communications, records of past care, physician associate-patient communications, laboratory and test results, evaluations and consultations, prescriptions, and instructions obtained or produced in connection with the use of telemedicine technologies. The licensee will note in the patient’s record when telemedicine is used to provide diagnosis and treatment. The licensee will ensure that the patient or another licensee designated by the patient has timely access to all information obtained during the telemedicine encounter. The licensee will ensure that the patient receives, upon request, a summary of each telemedicine encounter in a timely manner.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781.6(16)</w:t>
      </w:r>
      <w:r>
        <w:rPr>
          <w:rFonts w:ascii="Times New Roman" w:hAnsi="Times New Roman"/>
          <w:b w:val="false"/>
          <w:i w:val="false"/>
          <w:color w:val="000000"/>
          <w:sz w:val="22"/>
        </w:rPr>
        <w:t> </w:t>
      </w:r>
      <w:r>
        <w:rPr>
          <w:rFonts w:ascii="Times New Roman" w:hAnsi="Times New Roman"/>
          <w:b w:val="false"/>
          <w:i/>
          <w:color w:val="000000"/>
          <w:sz w:val="22"/>
        </w:rPr>
        <w:t xml:space="preserve">Privacy and security. </w:t>
      </w:r>
      <w:r>
        <w:rPr>
          <w:rFonts w:ascii="Times New Roman" w:hAnsi="Times New Roman"/>
          <w:b w:val="false"/>
          <w:i w:val="false"/>
          <w:color w:val="000000"/>
          <w:sz w:val="22"/>
        </w:rPr>
        <w:t>A licensee who uses telemedicine will ensure that all telemedicine encounters comply with the privacy and security measures of HIPAA to ensure that all patient communications and records are secure and remain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protocols will be established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Privacy;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care personnel who will process messages;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Types of transactions that will be permitted electronically;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patient information to be included in the communication, including patient name, identification number and type of transaction;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Archiving and retrieval;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Quality oversight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protocols should be periodically evaluated for currency and should be maintained in an accessible and readily available manner for review. The written protocols will include sufficient privacy and security measures to ensure the confidentiality and integrity of patient-identifiable information, including password protection, encryption or other reliable authentication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781.6(17)</w:t>
      </w:r>
      <w:r>
        <w:rPr>
          <w:rFonts w:ascii="Times New Roman" w:hAnsi="Times New Roman"/>
          <w:b w:val="false"/>
          <w:i w:val="false"/>
          <w:color w:val="000000"/>
          <w:sz w:val="22"/>
        </w:rPr>
        <w:t> </w:t>
      </w:r>
      <w:r>
        <w:rPr>
          <w:rFonts w:ascii="Times New Roman" w:hAnsi="Times New Roman"/>
          <w:b w:val="false"/>
          <w:i/>
          <w:color w:val="000000"/>
          <w:sz w:val="22"/>
        </w:rPr>
        <w:t xml:space="preserve">Technology and equipment. </w:t>
      </w:r>
      <w:r>
        <w:rPr>
          <w:rFonts w:ascii="Times New Roman" w:hAnsi="Times New Roman"/>
          <w:b w:val="false"/>
          <w:i w:val="false"/>
          <w:color w:val="000000"/>
          <w:sz w:val="22"/>
        </w:rPr>
        <w:t>Broad categories of telemedicine technologies currently exist, including asynchronous store-and-forward technologies, remote monitoring, and real-time interactive services. While some telemedicine programs are multispecialty in nature, others are tailored to specific diseases and medical specialties. The technology and equipment utilized for telemedicine will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comply with all relevant safety laws, rules, regulations, and codes for technology and technical safety for devices that interact with patients or are integral to diagnostic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be of sufficient quality, size, resolution and clarity such that the licensee can safely and effectively provide the telemedicine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be compliant with HIPAA.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781.6(18)</w:t>
      </w:r>
      <w:r>
        <w:rPr>
          <w:rFonts w:ascii="Times New Roman" w:hAnsi="Times New Roman"/>
          <w:b w:val="false"/>
          <w:i w:val="false"/>
          <w:color w:val="000000"/>
          <w:sz w:val="22"/>
        </w:rPr>
        <w:t> </w:t>
      </w:r>
      <w:r>
        <w:rPr>
          <w:rFonts w:ascii="Times New Roman" w:hAnsi="Times New Roman"/>
          <w:b w:val="false"/>
          <w:i/>
          <w:color w:val="000000"/>
          <w:sz w:val="22"/>
        </w:rPr>
        <w:t xml:space="preserve">Disclosure and functionality of telemedicine services. </w:t>
      </w:r>
      <w:r>
        <w:rPr>
          <w:rFonts w:ascii="Times New Roman" w:hAnsi="Times New Roman"/>
          <w:b w:val="false"/>
          <w:i w:val="false"/>
          <w:color w:val="000000"/>
          <w:sz w:val="22"/>
        </w:rPr>
        <w:t>A licensee who uses telemedicine will ensure that the following information is clearly disclosed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Types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Identity, licensure, certification, credentials, and qualifications of all health care providers who are providing the telemedicine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 in the drugs and services that can be provided via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services, cost-sharing responsibilities, and how payment is to be made, if these differ from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Financial interests, other than fees charged, in any information, products, or services provided by the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Appropriate uses and limitations of the technologies, including in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Uses of and response times for emails, electronic messages and other communications transmitted via telemedicine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whom patient health information may be disclosed and for what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Rights of patients with respect to patient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collected and passive tracking mechanisms utilized.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781.6(19)</w:t>
      </w:r>
      <w:r>
        <w:rPr>
          <w:rFonts w:ascii="Times New Roman" w:hAnsi="Times New Roman"/>
          <w:b w:val="false"/>
          <w:i w:val="false"/>
          <w:color w:val="000000"/>
          <w:sz w:val="22"/>
        </w:rPr>
        <w:t> </w:t>
      </w:r>
      <w:r>
        <w:rPr>
          <w:rFonts w:ascii="Times New Roman" w:hAnsi="Times New Roman"/>
          <w:b w:val="false"/>
          <w:i/>
          <w:color w:val="000000"/>
          <w:sz w:val="22"/>
        </w:rPr>
        <w:t xml:space="preserve">Patient access and feedback. </w:t>
      </w:r>
      <w:r>
        <w:rPr>
          <w:rFonts w:ascii="Times New Roman" w:hAnsi="Times New Roman"/>
          <w:b w:val="false"/>
          <w:i w:val="false"/>
          <w:color w:val="000000"/>
          <w:sz w:val="22"/>
        </w:rPr>
        <w:t>A licensee who uses telemedicine will ensure that the patient has easy access to a mechanism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access, supplement and amend patient-provided personal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provide feedback regarding the quality of the telemedicine services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register complaints. The mechanism will include information regarding the filing of complaints with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781.6(20)</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 xml:space="preserve">Advertising or promotion of goods or products from which the licensee receives direct remuneration, benefit or incentives (other than the fees for the medical services) is prohibited to the extent that such activities are prohibited by state or federal law. Notwithstanding such prohibition, internet services may provide links to general health information sites to enhance education; however, the licensee should not benefit financially from providing such links or from the services or products marketed by such links. When providing links to other sites, licensees should be aware of the implied endorsement of the information, services or products offered from such sites. The maintenance of a preferred relationship with any pharmacy is prohibited. Licensees will not transmit prescriptions to a specific pharmacy, or recommend a pharmacy, in exchange for any type of consideration or benefit from the pharmacy.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781.6(21)</w:t>
      </w:r>
      <w:r>
        <w:rPr>
          <w:rFonts w:ascii="Times New Roman" w:hAnsi="Times New Roman"/>
          <w:b w:val="false"/>
          <w:i w:val="false"/>
          <w:color w:val="000000"/>
          <w:sz w:val="22"/>
        </w:rPr>
        <w:t> </w:t>
      </w:r>
      <w:r>
        <w:rPr>
          <w:rFonts w:ascii="Times New Roman" w:hAnsi="Times New Roman"/>
          <w:b w:val="false"/>
          <w:i/>
          <w:color w:val="000000"/>
          <w:sz w:val="22"/>
        </w:rPr>
        <w:t xml:space="preserve">Circumstances where the standard of care may not require a licensee to personally interview or examine a patient. </w:t>
      </w:r>
      <w:r>
        <w:rPr>
          <w:rFonts w:ascii="Times New Roman" w:hAnsi="Times New Roman"/>
          <w:b w:val="false"/>
          <w:i w:val="false"/>
          <w:color w:val="000000"/>
          <w:sz w:val="22"/>
        </w:rPr>
        <w:t>Under the following circumstances, whether or not such circumstances involve the use of telemedicine, a licensee may treat a patient who has not been personally interviewed, examined and diagnosed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prescribes medications on a short-term basis for a new patient and has scheduled or is in the process of scheduling an appointment to personally examine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institutional settings, including writing initial admission orders for a newly hospitalized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Call situations in which a licensee is taking calls for another health care provider who has an established provider-patient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Cross-coverage situations in which a licensee is taking calls for another health care provider who has an established provider-patient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Emergency situations in which the life or health of the patient is in 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Emergency situations that constitute an immediate threat to the public health including, but not limited to, empiric treatment or prophylaxis to prevent or control an infectious disease outbreak;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has diagnosed a sexually transmitted disease in a patient and the licensee prescribes or dispenses antibiotics to the patient’s named sexual partner(s) for the treatment of the sexually transmitted disease as recommended by the U.S. Centers for Disease Control and Prevention;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licensed or certified nursing facilities, residential care facilities, intermediate care facilities, assisted living facilities, hospice settings, and correctional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781.6(22)</w:t>
      </w:r>
      <w:r>
        <w:rPr>
          <w:rFonts w:ascii="Times New Roman" w:hAnsi="Times New Roman"/>
          <w:b w:val="false"/>
          <w:i w:val="false"/>
          <w:color w:val="000000"/>
          <w:sz w:val="22"/>
        </w:rPr>
        <w:t> </w:t>
      </w:r>
      <w:r>
        <w:rPr>
          <w:rFonts w:ascii="Times New Roman" w:hAnsi="Times New Roman"/>
          <w:b w:val="false"/>
          <w:i/>
          <w:color w:val="000000"/>
          <w:sz w:val="22"/>
        </w:rPr>
        <w:t xml:space="preserve">Prescribing based solely on an internet request, internet questionnaire or a telephonic evaluation—prohibited. </w:t>
      </w:r>
      <w:r>
        <w:rPr>
          <w:rFonts w:ascii="Times New Roman" w:hAnsi="Times New Roman"/>
          <w:b w:val="false"/>
          <w:i w:val="false"/>
          <w:color w:val="000000"/>
          <w:sz w:val="22"/>
        </w:rPr>
        <w:t xml:space="preserve">Prescribing to a patient based solely on an internet request or internet questionnaire (i.e., a static questionnaire provided to a patient, to which the patient responds with a static set of answers, in contrast to an adaptive, interactive and responsive online interview) is prohibited. Absent a valid physician associate-patient relationship, a licensee’s prescribing to a patient based solely on a telephonic evaluation is prohibited, with the exception of the circumstances described in </w:t>
      </w:r>
      <w:hyperlink r:id="rId13">
        <w:r>
          <w:rPr>
            <w:rStyle w:val="Hyperlink"/>
            <w:rFonts w:ascii="Times New Roman" w:hAnsi="Times New Roman"/>
            <w:b w:val="false"/>
            <w:i w:val="false"/>
            <w:color w:val="000000"/>
            <w:sz w:val="22"/>
          </w:rPr>
          <w:t>subrule 781.9(21)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and chapters </w:t>
      </w:r>
      <w:hyperlink r:id="rId1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4/22/04, Notice 2/18/04—published 5/12/04, effective 6/16/04]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8/25/04—published 9/15/04, effective 8/25/04]</w:t>
      </w:r>
    </w:p>
    <w:p>
      <w:pPr>
        <w:spacing w:before="0" w:after="0"/>
        <w:ind w:left="120"/>
        <w:jc w:val="center"/>
      </w:pPr>
      <w:r>
        <w:rPr>
          <w:rFonts w:ascii="Times New Roman" w:hAnsi="Times New Roman"/>
          <w:b w:val="false"/>
          <w:i w:val="false"/>
          <w:color w:val="000000"/>
          <w:sz w:val="21"/>
        </w:rPr>
        <w:t>[Filed 10/18/06, Notice 8/16/06—published 11/8/06, effective 12/13/06]</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[Filed ARC 9217B</w:t>
      </w:r>
      <w:r>
        <w:rPr>
          <w:rFonts w:ascii="Times New Roman" w:hAnsi="Times New Roman"/>
          <w:b w:val="false"/>
          <w:i w:val="false"/>
          <w:color w:val="000000"/>
          <w:sz w:val="21"/>
        </w:rPr>
        <w:t xml:space="preserve"> (Notice ARC 8775B, IAB 6/2/10)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9844B</w:t>
      </w:r>
      <w:r>
        <w:rPr>
          <w:rFonts w:ascii="Times New Roman" w:hAnsi="Times New Roman"/>
          <w:b w:val="false"/>
          <w:i w:val="false"/>
          <w:color w:val="000000"/>
          <w:sz w:val="21"/>
        </w:rPr>
        <w:t xml:space="preserve"> (Notice ARC 9580B, IAB 6/29/11)</w:t>
      </w:r>
      <w:r>
        <w:rPr>
          <w:rFonts w:ascii="Times New Roman" w:hAnsi="Times New Roman"/>
          <w:b w:val="false"/>
          <w:i w:val="false"/>
          <w:color w:val="000000"/>
          <w:sz w:val="21"/>
        </w:rPr>
        <w:t>, IAB 11/16/11, effective 12/21/11]</w:t>
      </w:r>
    </w:p>
    <w:p>
      <w:pPr>
        <w:spacing w:before="0" w:after="0"/>
        <w:ind w:left="120"/>
        <w:jc w:val="center"/>
      </w:pPr>
      <w:r>
        <w:rPr>
          <w:rFonts w:ascii="Times New Roman" w:hAnsi="Times New Roman"/>
          <w:b w:val="false"/>
          <w:i w:val="false"/>
          <w:color w:val="000000"/>
          <w:sz w:val="21"/>
        </w:rPr>
        <w:t>[Filed ARC 1909C</w:t>
      </w:r>
      <w:r>
        <w:rPr>
          <w:rFonts w:ascii="Times New Roman" w:hAnsi="Times New Roman"/>
          <w:b w:val="false"/>
          <w:i w:val="false"/>
          <w:color w:val="000000"/>
          <w:sz w:val="21"/>
        </w:rPr>
        <w:t xml:space="preserve"> (Notice ARC 1741C, IAB 11/26/14)</w:t>
      </w:r>
      <w:r>
        <w:rPr>
          <w:rFonts w:ascii="Times New Roman" w:hAnsi="Times New Roman"/>
          <w:b w:val="false"/>
          <w:i w:val="false"/>
          <w:color w:val="000000"/>
          <w:sz w:val="21"/>
        </w:rPr>
        <w:t>, IAB 3/18/15, effective 4/22/15]</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ARC 2436C, IAB 3/16/16, effective 2/16/16]</w:t>
      </w:r>
    </w:p>
    <w:p>
      <w:pPr>
        <w:spacing w:before="0" w:after="0"/>
        <w:ind w:left="120"/>
        <w:jc w:val="center"/>
      </w:pPr>
      <w:r>
        <w:rPr>
          <w:rFonts w:ascii="Times New Roman" w:hAnsi="Times New Roman"/>
          <w:b w:val="false"/>
          <w:i w:val="false"/>
          <w:color w:val="000000"/>
          <w:sz w:val="21"/>
        </w:rPr>
        <w:t>[Filed ARC 3642C</w:t>
      </w:r>
      <w:r>
        <w:rPr>
          <w:rFonts w:ascii="Times New Roman" w:hAnsi="Times New Roman"/>
          <w:b w:val="false"/>
          <w:i w:val="false"/>
          <w:color w:val="000000"/>
          <w:sz w:val="21"/>
        </w:rPr>
        <w:t xml:space="preserve"> (Notice ARC 3455C, IAB 11/22/17)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r>
        <w:br/>
      </w:r>
      <w:r>
        <w:rPr>
          <w:rFonts w:ascii="Times New Roman" w:hAnsi="Times New Roman"/>
          <w:b w:val="false"/>
          <w:i w:val="false"/>
          <w:color w:val="000000"/>
          <w:sz w:val="21"/>
        </w:rPr>
        <w:t>[Filed ARC 4300C</w:t>
      </w:r>
      <w:r>
        <w:rPr>
          <w:rFonts w:ascii="Times New Roman" w:hAnsi="Times New Roman"/>
          <w:b w:val="false"/>
          <w:i w:val="false"/>
          <w:color w:val="000000"/>
          <w:sz w:val="21"/>
        </w:rPr>
        <w:t xml:space="preserve"> (Notice ARC 4130C,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4953C</w:t>
      </w:r>
      <w:r>
        <w:rPr>
          <w:rFonts w:ascii="Times New Roman" w:hAnsi="Times New Roman"/>
          <w:b w:val="false"/>
          <w:i w:val="false"/>
          <w:color w:val="000000"/>
          <w:sz w:val="21"/>
        </w:rPr>
        <w:t xml:space="preserve"> (Notice ARC 4768C, IAB 11/20/19)</w:t>
      </w:r>
      <w:r>
        <w:rPr>
          <w:rFonts w:ascii="Times New Roman" w:hAnsi="Times New Roman"/>
          <w:b w:val="false"/>
          <w:i w:val="false"/>
          <w:color w:val="000000"/>
          <w:sz w:val="21"/>
        </w:rPr>
        <w:t>, IAB 2/26/20, effective 5/27/20]</w:t>
      </w:r>
    </w:p>
    <w:p>
      <w:pPr>
        <w:spacing w:before="0" w:after="0"/>
        <w:ind w:left="120"/>
        <w:jc w:val="center"/>
      </w:pPr>
      <w:r>
        <w:rPr>
          <w:rFonts w:ascii="Times New Roman" w:hAnsi="Times New Roman"/>
          <w:b w:val="false"/>
          <w:i w:val="false"/>
          <w:color w:val="000000"/>
          <w:sz w:val="21"/>
        </w:rPr>
        <w:t>[Filed ARC 5177C</w:t>
      </w:r>
      <w:r>
        <w:rPr>
          <w:rFonts w:ascii="Times New Roman" w:hAnsi="Times New Roman"/>
          <w:b w:val="false"/>
          <w:i w:val="false"/>
          <w:color w:val="000000"/>
          <w:sz w:val="21"/>
        </w:rPr>
        <w:t xml:space="preserve"> (Notice ARC 5043C, IAB 6/3/20)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5862C</w:t>
      </w:r>
      <w:r>
        <w:rPr>
          <w:rFonts w:ascii="Times New Roman" w:hAnsi="Times New Roman"/>
          <w:b w:val="false"/>
          <w:i w:val="false"/>
          <w:color w:val="000000"/>
          <w:sz w:val="21"/>
        </w:rPr>
        <w:t xml:space="preserve"> (Notice ARC 5555C, IAB 4/7/21)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8038C</w:t>
      </w:r>
      <w:r>
        <w:rPr>
          <w:rFonts w:ascii="Times New Roman" w:hAnsi="Times New Roman"/>
          <w:b w:val="false"/>
          <w:i w:val="false"/>
          <w:color w:val="000000"/>
          <w:sz w:val="21"/>
        </w:rPr>
        <w:t xml:space="preserve"> (Notice ARC 7528C,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6/24/26]</w:t>
      </w:r>
    </w:p>
    <w:p>
      <w:pPr>
        <w:pBdr>
          <w:bottom w:space="2"/>
        </w:pBdr>
        <w:spacing w:before="0" w:after="0"/>
        <w:ind w:left="120"/>
        <w:jc w:val="both"/>
      </w:pPr>
      <w:r>
        <w:rPr>
          <w:rFonts w:ascii="Times New Roman" w:hAnsi="Times New Roman"/>
          <w:b w:val="false"/>
          <w:i w:val="false"/>
          <w:color w:val="000000"/>
          <w:sz w:val="22"/>
        </w:rPr>
        <w:t>June 16, 2004, effective date of amendments published in ARC 3345B delayed 70 days by the Administrative Rules Review Committee at its meeting held June 7, 2004.</w:t>
      </w:r>
    </w:p>
    <w:p>
      <w:pPr>
        <w:pBdr>
          <w:bottom w:space="2"/>
        </w:pBdr>
        <w:spacing w:before="0" w:after="0"/>
        <w:ind w:left="120"/>
        <w:jc w:val="both"/>
      </w:pPr>
      <w:r>
        <w:rPr>
          <w:rFonts w:ascii="Times New Roman" w:hAnsi="Times New Roman"/>
          <w:b w:val="false"/>
          <w:i w:val="false"/>
          <w:color w:val="000000"/>
          <w:sz w:val="22"/>
        </w:rPr>
        <w:t>April 22, 2015, effective date of ARC 1909C [327.4(2)] delayed until the adjournment of the 2016 General Assembly by the Administrative Rules Review Committee at a special meeting held April 20, 2015. At its meeting held February 5, 2016, the Committee extended the delay 70 days beyond the adjournment of the 2016 General Assembly.</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co/chapter/124.pdf" Type="http://schemas.openxmlformats.org/officeDocument/2006/relationships/hyperlink" Id="rId6"/>
    <Relationship TargetMode="External" Target="https://www.legis.iowa.gov/docs/ico/chapter/135C.1.pdf" Type="http://schemas.openxmlformats.org/officeDocument/2006/relationships/hyperlink" Id="rId7"/>
    <Relationship TargetMode="External" Target="https://www.legis.iowa.gov/docs/ico/chapter/147A.pdf" Type="http://schemas.openxmlformats.org/officeDocument/2006/relationships/hyperlink" Id="rId8"/>
    <Relationship TargetMode="External" Target="https://www.legis.iowa.gov/docs/ico/chapter/148C.1.pdf" Type="http://schemas.openxmlformats.org/officeDocument/2006/relationships/hyperlink" Id="rId9"/>
    <Relationship TargetMode="External" Target="https://www.legis.iowa.gov/docs/ico/chapter/124.308.pdf" Type="http://schemas.openxmlformats.org/officeDocument/2006/relationships/hyperlink" Id="rId10"/>
    <Relationship TargetMode="External" Target="https://www.legis.iowa.gov/docs/ico/chapter/155A.27.pdf" Type="http://schemas.openxmlformats.org/officeDocument/2006/relationships/hyperlink" Id="rId11"/>
    <Relationship TargetMode="External" Target="https://www.legis.iowa.gov/docs/iac/rule/481.780.17.pdf" Type="http://schemas.openxmlformats.org/officeDocument/2006/relationships/hyperlink" Id="rId12"/>
    <Relationship TargetMode="External" Target="https://www.legis.iowa.gov/docs/iac/rule/645.327.9.pdf" Type="http://schemas.openxmlformats.org/officeDocument/2006/relationships/hyperlink" Id="rId13"/>
    <Relationship TargetMode="External" Target="https://www.legis.iowa.gov/docs/ico/chapter/147.10.pdf" Type="http://schemas.openxmlformats.org/officeDocument/2006/relationships/hyperlink" Id="rId14"/>
    <Relationship TargetMode="External" Target="https://www.legis.iowa.gov/docs/ico/chapter/147.107.pdf" Type="http://schemas.openxmlformats.org/officeDocument/2006/relationships/hyperlink" Id="rId15"/>
    <Relationship TargetMode="External" Target="https://www.legis.iowa.gov/docs/ico/chapter/148C.pdf" Type="http://schemas.openxmlformats.org/officeDocument/2006/relationships/hyperlink" Id="rId16"/>
    <Relationship TargetMode="External" Target="https://www.legis.iowa.gov/docs/ico/chapter/272C.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