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PHYSICIAN ASSOCIATES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780</w:t>
      </w:r>
    </w:p>
    <w:p>
      <w:pPr>
        <w:spacing w:before="0" w:after="0"/>
        <w:ind w:left="120"/>
        <w:jc w:val="center"/>
      </w:pPr>
      <w:r>
        <w:rPr>
          <w:rFonts w:ascii="Times New Roman" w:hAnsi="Times New Roman"/>
          <w:b w:val="false"/>
          <w:i w:val="false"/>
          <w:color w:val="000000"/>
          <w:sz w:val="21"/>
        </w:rPr>
        <w:t>LICENSURE OF PHYSICIAN ASSOCIATES</w:t>
      </w:r>
    </w:p>
    <w:p>
      <w:pPr>
        <w:spacing w:before="0" w:after="0"/>
        <w:ind w:left="120"/>
        <w:jc w:val="center"/>
      </w:pPr>
      <w:r>
        <w:rPr>
          <w:rFonts w:ascii="Times New Roman" w:hAnsi="Times New Roman"/>
          <w:b w:val="false"/>
          <w:i w:val="false"/>
          <w:color w:val="000000"/>
          <w:sz w:val="14"/>
        </w:rPr>
        <w:t>[Prior to 8/7/02, see 645—325.2(148C) to 645—325.5(148C) and 645—325.16(148C)]</w:t>
      </w:r>
    </w:p>
    <w:p>
      <w:pPr>
        <w:spacing w:before="0" w:after="0"/>
        <w:ind w:left="120"/>
        <w:jc w:val="center"/>
      </w:pPr>
      <w:r>
        <w:rPr>
          <w:rFonts w:ascii="Times New Roman" w:hAnsi="Times New Roman"/>
          <w:b w:val="false"/>
          <w:i w:val="false"/>
          <w:color w:val="000000"/>
          <w:sz w:val="14"/>
        </w:rPr>
        <w:t>[Prior to 9/18/24, see Professional Licensure Division[645] Ch 326]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10/8/30</w:t>
      </w:r>
    </w:p>
    <w:p>
      <w:pPr>
        <w:spacing w:before="0" w:after="0"/>
        <w:ind w:left="120"/>
        <w:jc w:val="both"/>
      </w:pPr>
      <w:r>
        <w:rPr>
          <w:rFonts w:ascii="Times New Roman" w:hAnsi="Times New Roman"/>
          <w:b/>
          <w:i w:val="false"/>
          <w:color w:val="000000"/>
          <w:sz w:val="22"/>
        </w:rPr>
        <w:t>481—780.1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herein, and unless otherwise stated, the board adopts by reference the definitions found in Iowa Code section </w:t>
      </w:r>
      <w:hyperlink r:id="rId5">
        <w:r>
          <w:rPr>
            <w:rStyle w:val="Hyperlink"/>
            <w:rFonts w:ascii="Times New Roman" w:hAnsi="Times New Roman"/>
            <w:b w:val="false"/>
            <w:i w:val="false"/>
            <w:color w:val="000000"/>
            <w:sz w:val="22"/>
          </w:rPr>
          <w:t>148C.1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w:t>
      </w:r>
      <w:r>
        <w:rPr>
          <w:rFonts w:ascii="Times New Roman" w:hAnsi="Times New Roman"/>
          <w:b w:val="false"/>
          <w:i w:val="false"/>
          <w:color w:val="000000"/>
          <w:sz w:val="22"/>
        </w:rPr>
        <w:t> </w:t>
      </w:r>
      <w:r>
        <w:rPr>
          <w:rFonts w:ascii="Times New Roman" w:hAnsi="Times New Roman"/>
          <w:b w:val="false"/>
          <w:i w:val="false"/>
          <w:color w:val="000000"/>
          <w:sz w:val="22"/>
        </w:rPr>
        <w:t>means a program for the education of physician associates that has been accredited by the Accreditation Review Commission on Education for the Physician Assistant, or its successor, or, if accredited prior to 2001, either by the Committee on Allied Health Education and Accreditation or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“CME”</w:t>
      </w:r>
      <w:r>
        <w:rPr>
          <w:rFonts w:ascii="Times New Roman" w:hAnsi="Times New Roman"/>
          <w:b w:val="false"/>
          <w:i w:val="false"/>
          <w:color w:val="000000"/>
          <w:sz w:val="22"/>
        </w:rPr>
        <w:t> </w:t>
      </w:r>
      <w:r>
        <w:rPr>
          <w:rFonts w:ascii="Times New Roman" w:hAnsi="Times New Roman"/>
          <w:b w:val="false"/>
          <w:i w:val="false"/>
          <w:color w:val="000000"/>
          <w:sz w:val="22"/>
        </w:rPr>
        <w:t>means continuing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“Collaboration”</w:t>
      </w:r>
      <w:r>
        <w:rPr>
          <w:rFonts w:ascii="Times New Roman" w:hAnsi="Times New Roman"/>
          <w:b w:val="false"/>
          <w:i w:val="false"/>
          <w:color w:val="000000"/>
          <w:sz w:val="22"/>
        </w:rPr>
        <w:t> </w:t>
      </w:r>
      <w:r>
        <w:rPr>
          <w:rFonts w:ascii="Times New Roman" w:hAnsi="Times New Roman"/>
          <w:b w:val="false"/>
          <w:i w:val="false"/>
          <w:color w:val="000000"/>
          <w:sz w:val="22"/>
        </w:rPr>
        <w:t>means consultation with or referral to the appropriate physician or other health care professional by a physician associate as indicated by the patient’s condition; the education, competencies, and experience of the physician associate; and the best practice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“Direction”</w:t>
      </w:r>
      <w:r>
        <w:rPr>
          <w:rFonts w:ascii="Times New Roman" w:hAnsi="Times New Roman"/>
          <w:b w:val="false"/>
          <w:i w:val="false"/>
          <w:color w:val="000000"/>
          <w:sz w:val="22"/>
        </w:rPr>
        <w:t> </w:t>
      </w:r>
      <w:r>
        <w:rPr>
          <w:rFonts w:ascii="Times New Roman" w:hAnsi="Times New Roman"/>
          <w:b w:val="false"/>
          <w:i w:val="false"/>
          <w:color w:val="000000"/>
          <w:sz w:val="22"/>
        </w:rPr>
        <w:t>means authoritative policy or procedural guidance for the accomplishment of a function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“HIPAA”</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by the board as 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as a physician associate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“Locum tenens”</w:t>
      </w:r>
      <w:r>
        <w:rPr>
          <w:rFonts w:ascii="Times New Roman" w:hAnsi="Times New Roman"/>
          <w:b w:val="false"/>
          <w:i w:val="false"/>
          <w:color w:val="000000"/>
          <w:sz w:val="22"/>
        </w:rPr>
        <w:t> </w:t>
      </w:r>
      <w:r>
        <w:rPr>
          <w:rFonts w:ascii="Times New Roman" w:hAnsi="Times New Roman"/>
          <w:b w:val="false"/>
          <w:i w:val="false"/>
          <w:color w:val="000000"/>
          <w:sz w:val="22"/>
        </w:rPr>
        <w:t>means the temporary substitution of one licensed physician associate for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training on identifying and reporting child abuse or dependent adult abuse required of physician associates who are mandatory reporters. The full requirements on mandatory reporting of child abuse and the training requirements are found in Iowa Code section </w:t>
      </w:r>
      <w:hyperlink r:id="rId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7">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“NCCPA”</w:t>
      </w:r>
      <w:r>
        <w:rPr>
          <w:rFonts w:ascii="Times New Roman" w:hAnsi="Times New Roman"/>
          <w:b w:val="false"/>
          <w:i w:val="false"/>
          <w:color w:val="000000"/>
          <w:sz w:val="22"/>
        </w:rPr>
        <w:t> </w:t>
      </w:r>
      <w:r>
        <w:rPr>
          <w:rFonts w:ascii="Times New Roman" w:hAnsi="Times New Roman"/>
          <w:b w:val="false"/>
          <w:i w:val="false"/>
          <w:color w:val="000000"/>
          <w:sz w:val="22"/>
        </w:rPr>
        <w:t>means the National Commission on Certification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w:t>
      </w:r>
      <w:r>
        <w:rPr>
          <w:rFonts w:ascii="Times New Roman" w:hAnsi="Times New Roman"/>
          <w:b w:val="false"/>
          <w:i w:val="false"/>
          <w:color w:val="000000"/>
          <w:sz w:val="22"/>
        </w:rPr>
        <w:t> </w:t>
      </w:r>
      <w:r>
        <w:rPr>
          <w:rFonts w:ascii="Times New Roman" w:hAnsi="Times New Roman"/>
          <w:b w:val="false"/>
          <w:i w:val="false"/>
          <w:color w:val="000000"/>
          <w:sz w:val="22"/>
        </w:rPr>
        <w:t>means a drug that produces an agonist effect on opioid receptors and is indicated or used for the treatment of pain or opioid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“Other 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as a physician associate under Iowa Code chapter </w:t>
      </w:r>
      <w:hyperlink r:id="rId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an advanced registered nurse practitioner licensed under Iowa Code chapter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currently licensed in Iowa to practice medicine and surgery or osteopathic medicine and surgery. A physician supervising a physician associate practicing in a federal facility or under federal authority will not be required to obtain licensure beyond licensure requirements mandated by the federal government for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monitoring program database”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“PMP database”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prescription monitoring program database administered by the board of pharmacy pursuant to Iowa Code chapter </w:t>
      </w:r>
      <w:hyperlink r:id="rId1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subchapter VI, and </w:t>
      </w:r>
      <w:hyperlink r:id="rId11">
        <w:r>
          <w:rPr>
            <w:rStyle w:val="Hyperlink"/>
            <w:rFonts w:ascii="Times New Roman" w:hAnsi="Times New Roman"/>
            <w:b w:val="false"/>
            <w:i w:val="false"/>
            <w:color w:val="000000"/>
            <w:sz w:val="22"/>
          </w:rPr>
          <w:t>481—Chapter 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2">
        <w:r>
          <w:rPr>
            <w:rStyle w:val="Hyperlink"/>
            <w:rFonts w:ascii="Times New Roman" w:hAnsi="Times New Roman"/>
            <w:b w:val="false"/>
            <w:i w:val="false"/>
            <w:color w:val="000000"/>
            <w:sz w:val="22"/>
          </w:rPr>
          <w:t>481—780.9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3">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physician who supervises the medical services provided by the physician associate engaged in independent practice consistent with the physician associate’s education, training, or experience. Supervision shall not be construed as a requirement to be applied to those physician associates who (1) are not engaged in an independent practice arrangement, (2) have already met the requirements to practice independently, or (3) are not required by law to be supervised.  Supervision shall not be construed as requiring the personal presence of a supervising physician at the place where such services are rendered, except insofar as the personal presence is expressly required by these rules or by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“Supply prescription drugs”</w:t>
      </w:r>
      <w:r>
        <w:rPr>
          <w:rFonts w:ascii="Times New Roman" w:hAnsi="Times New Roman"/>
          <w:b w:val="false"/>
          <w:i w:val="false"/>
          <w:color w:val="000000"/>
          <w:sz w:val="22"/>
        </w:rPr>
        <w:t> </w:t>
      </w:r>
      <w:r>
        <w:rPr>
          <w:rFonts w:ascii="Times New Roman" w:hAnsi="Times New Roman"/>
          <w:b w:val="false"/>
          <w:i w:val="false"/>
          <w:color w:val="000000"/>
          <w:sz w:val="22"/>
        </w:rPr>
        <w:t>means to deliver to a patient or the patient’s representative a quantity of prescription drugs or devices that are properly packaged and labeled.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481—780.2</w:t>
      </w:r>
      <w:r>
        <w:rPr>
          <w:rFonts w:ascii="Times New Roman" w:hAnsi="Times New Roman"/>
          <w:b/>
          <w:i w:val="false"/>
          <w:color w:val="000000"/>
          <w:sz w:val="22"/>
        </w:rPr>
        <w:t xml:space="preserve">(148C)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shall apply to the initial licensure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complete an online application packet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successfully pass the certifying examination conducted by the NCCPA or a successor examination approved by the board.  The applicant will request the NCCPA, or its successor agency, to send a copy of the initial certification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request the approved program for education of physician associates to submit official copies of the applicant’s transcript to the board office.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An applicant who is not a graduate of an approved program but who passed the NCCPA initial certification examination prior to 1986 is exempt from the graduation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paragraphs </w:t>
      </w:r>
      <w:hyperlink r:id="rId15">
        <w:r>
          <w:rPr>
            <w:rStyle w:val="Hyperlink"/>
            <w:rFonts w:ascii="Times New Roman" w:hAnsi="Times New Roman"/>
            <w:b w:val="false"/>
            <w:i w:val="false"/>
            <w:color w:val="000000"/>
            <w:sz w:val="22"/>
          </w:rPr>
          <w:t>780.2(1)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 applicant for licensure may provide documentation from the Federation Credentials Verification Service (FCVS) of the Federation of State Medical Boards as primary source verification for identity, education and national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an applicant for licensure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licensure by endorsement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any disciplinary action taken in all jurisdictions where the applicant was previously licensed;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100 CME hours for each biennium since the licensee was initially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who is licensed in another jurisdiction who cannot satisfy the requirements of licensure by endorsement may apply for licensure by verification, if eligible, in accordance with rule </w:t>
      </w:r>
      <w:hyperlink r:id="rId16">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780.2(4)</w:t>
      </w:r>
      <w:r>
        <w:rPr>
          <w:rFonts w:ascii="Times New Roman" w:hAnsi="Times New Roman"/>
          <w:b w:val="false"/>
          <w:i w:val="false"/>
          <w:color w:val="000000"/>
          <w:sz w:val="22"/>
        </w:rPr>
        <w:t> </w:t>
      </w:r>
      <w:r>
        <w:rPr>
          <w:rFonts w:ascii="Times New Roman" w:hAnsi="Times New Roman"/>
          <w:b w:val="false"/>
          <w:i w:val="false"/>
          <w:color w:val="000000"/>
          <w:sz w:val="22"/>
        </w:rPr>
        <w:t>An application not completed according to guidelines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from the applicant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481—780.3</w:t>
      </w:r>
      <w:r>
        <w:rPr>
          <w:rFonts w:ascii="Times New Roman" w:hAnsi="Times New Roman"/>
          <w:b/>
          <w:i w:val="false"/>
          <w:color w:val="000000"/>
          <w:sz w:val="22"/>
        </w:rPr>
        <w:t xml:space="preserve">(148C) </w:t>
      </w:r>
      <w:r>
        <w:rPr>
          <w:rFonts w:ascii="Times New Roman" w:hAnsi="Times New Roman"/>
          <w:b/>
          <w:i w:val="false"/>
          <w:color w:val="000000"/>
          <w:sz w:val="22"/>
        </w:rPr>
        <w:t xml:space="preserve">Temporary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an applicant for licensure who has not taken the NCCPA initial certification examination or successor agency examination or is waiting for the results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must comply with subrule </w:t>
      </w:r>
      <w:hyperlink r:id="rId17">
        <w:r>
          <w:rPr>
            <w:rStyle w:val="Hyperlink"/>
            <w:rFonts w:ascii="Times New Roman" w:hAnsi="Times New Roman"/>
            <w:b w:val="false"/>
            <w:i w:val="false"/>
            <w:color w:val="000000"/>
            <w:sz w:val="22"/>
          </w:rPr>
          <w:t>780.2(1)</w:t>
        </w:r>
      </w:hyperlink>
      <w:r>
        <w:rPr>
          <w:rFonts w:ascii="Times New Roman" w:hAnsi="Times New Roman"/>
          <w:b w:val="false"/>
          <w:i w:val="false"/>
          <w:color w:val="000000"/>
          <w:sz w:val="22"/>
        </w:rPr>
        <w:t xml:space="preserve">, with the exception of paragraphs </w:t>
      </w:r>
      <w:hyperlink r:id="rId18">
        <w:r>
          <w:rPr>
            <w:rStyle w:val="Hyperlink"/>
            <w:rFonts w:ascii="Times New Roman" w:hAnsi="Times New Roman"/>
            <w:b w:val="false"/>
            <w:i w:val="false"/>
            <w:color w:val="000000"/>
            <w:sz w:val="22"/>
          </w:rPr>
          <w:t>780.2(1)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780.3(3)</w:t>
      </w:r>
      <w:r>
        <w:rPr>
          <w:rFonts w:ascii="Times New Roman" w:hAnsi="Times New Roman"/>
          <w:b w:val="false"/>
          <w:i w:val="false"/>
          <w:color w:val="000000"/>
          <w:sz w:val="22"/>
        </w:rPr>
        <w:t> </w:t>
      </w:r>
      <w:r>
        <w:rPr>
          <w:rFonts w:ascii="Times New Roman" w:hAnsi="Times New Roman"/>
          <w:b w:val="false"/>
          <w:i w:val="false"/>
          <w:color w:val="000000"/>
          <w:sz w:val="22"/>
        </w:rPr>
        <w:t>A temporary license will be valid for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780.3(4)</w:t>
      </w:r>
      <w:r>
        <w:rPr>
          <w:rFonts w:ascii="Times New Roman" w:hAnsi="Times New Roman"/>
          <w:b w:val="false"/>
          <w:i w:val="false"/>
          <w:color w:val="000000"/>
          <w:sz w:val="22"/>
        </w:rPr>
        <w:t> </w:t>
      </w:r>
      <w:r>
        <w:rPr>
          <w:rFonts w:ascii="Times New Roman" w:hAnsi="Times New Roman"/>
          <w:b w:val="false"/>
          <w:i w:val="false"/>
          <w:color w:val="000000"/>
          <w:sz w:val="22"/>
        </w:rPr>
        <w:t>The temporary license will be renewed only once upon an applicant for licensure’s showing proof that, through no fault of the applicant, the applicant was unable to take the certification examination recognized by the board. Proof of inability to take the certification examination will be submitted to the board office with written request for renewal of a temporary license, accompanied by the temporary license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780.3(5)</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fails the certification examination, the temporary licensee must cease practice immediately and surrender the temporary license by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780.3(6)</w:t>
      </w:r>
      <w:r>
        <w:rPr>
          <w:rFonts w:ascii="Times New Roman" w:hAnsi="Times New Roman"/>
          <w:b w:val="false"/>
          <w:i w:val="false"/>
          <w:color w:val="000000"/>
          <w:sz w:val="22"/>
        </w:rPr>
        <w:t> </w:t>
      </w:r>
      <w:r>
        <w:rPr>
          <w:rFonts w:ascii="Times New Roman" w:hAnsi="Times New Roman"/>
          <w:b w:val="false"/>
          <w:i w:val="false"/>
          <w:color w:val="000000"/>
          <w:sz w:val="22"/>
        </w:rPr>
        <w:t>There is no additional fee for converting temporary licensure to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780.3(7)</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will ensure that certification of completion is sent to the board directly from an approved program for the education of physician associates. The certification of completion must be signed by a designee from the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481—780.4</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supervision not required. </w:t>
      </w:r>
      <w:r>
        <w:rPr>
          <w:rFonts w:ascii="Times New Roman" w:hAnsi="Times New Roman"/>
          <w:b w:val="false"/>
          <w:i w:val="false"/>
          <w:color w:val="000000"/>
          <w:sz w:val="22"/>
        </w:rPr>
        <w:t>A physician associate is not required to be supervised by a physician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780.4(1)</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is licensed in the state of Iowa or eligible to become licensed in the state of Iowa;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780.4(2)</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has previously practiced under a supervising physician or in collaboration with an Iowa-licensed physician or other licensed health care professional for a period of at least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associate is not practicing in an independent practice arrangement as defined in Iowa Code section </w:t>
      </w:r>
      <w:hyperlink r:id="rId19">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481—780.5</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supervision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780.5(1)</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associate is required to be supervised by a physician when the physician associate is practicing in an independent practice arrangement as defined in Iowa Code section </w:t>
      </w:r>
      <w:hyperlink r:id="rId20">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 xml:space="preserve"> and the physician associate has not previously practiced under a supervising physician or in collaboration with the appropriate physician or other health care professional for a period of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780.5(2)</w:t>
      </w:r>
      <w:r>
        <w:rPr>
          <w:rFonts w:ascii="Times New Roman" w:hAnsi="Times New Roman"/>
          <w:b w:val="false"/>
          <w:i w:val="false"/>
          <w:color w:val="000000"/>
          <w:sz w:val="22"/>
        </w:rPr>
        <w:t> </w:t>
      </w:r>
      <w:r>
        <w:rPr>
          <w:rFonts w:ascii="Times New Roman" w:hAnsi="Times New Roman"/>
          <w:b w:val="false"/>
          <w:i w:val="false"/>
          <w:color w:val="000000"/>
          <w:sz w:val="22"/>
        </w:rPr>
        <w:t>Requirements for a physician associate and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use the jointly approved board forms to notify the board of the identity of the physician associate’s supervising physician prior to beginning practice in Iowa. The physician associate will notify the board of the identity of each of the physician associate’s supervising physicians and of any change in the status of the supervisory relationships during the physician associate’s required supervisory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associate and a supervising physician will utilize the board form to show a mutual understanding of the physician associate’s scope of practice, identified medical procedures and the areas of medicine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maintain documentation of current supervising physicians, which will be made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shall be the joint responsibility of a physician associate and a supervising physician to ensure the physician associate is adequately supervised. Upon agreeing to supervise the physician associate, the supervising physician will be advised that the physician’s name will be listed with the board as a supervising physician. The physician associate and the supervising physician are each responsible for knowing and complying with the supervision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a physician associate will be reviewed with a supervising physician determined at the practice level, ensuring each patient has received the appropriate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a physician associate may be reviewed with a supervising physician in person, by telephone or by other means of telecommunication and determined at the practice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481—780.6</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eligibility to supervise physician associates. </w:t>
      </w:r>
      <w:r>
        <w:rPr>
          <w:rFonts w:ascii="Times New Roman" w:hAnsi="Times New Roman"/>
          <w:b w:val="false"/>
          <w:i w:val="false"/>
          <w:color w:val="000000"/>
          <w:sz w:val="22"/>
        </w:rPr>
        <w:t xml:space="preserve">Information on physician eligibility to supervise physician associates is contained in </w:t>
      </w:r>
      <w:hyperlink r:id="rId21">
        <w:r>
          <w:rPr>
            <w:rStyle w:val="Hyperlink"/>
            <w:rFonts w:ascii="Times New Roman" w:hAnsi="Times New Roman"/>
            <w:b w:val="false"/>
            <w:i w:val="false"/>
            <w:color w:val="000000"/>
            <w:sz w:val="22"/>
          </w:rPr>
          <w:t>653—subrules 21.1(1) through 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481—780.7</w:t>
      </w:r>
      <w:r>
        <w:rPr>
          <w:rFonts w:ascii="Times New Roman" w:hAnsi="Times New Roman"/>
          <w:b/>
          <w:i w:val="false"/>
          <w:color w:val="000000"/>
          <w:sz w:val="22"/>
        </w:rPr>
        <w:t xml:space="preserve">(148C) </w:t>
      </w:r>
      <w:r>
        <w:rPr>
          <w:rFonts w:ascii="Times New Roman" w:hAnsi="Times New Roman"/>
          <w:b/>
          <w:i w:val="false"/>
          <w:color w:val="000000"/>
          <w:sz w:val="22"/>
        </w:rPr>
        <w:t xml:space="preserve">Collaborative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conclusion of two years of practice under a supervising physician as required by rule </w:t>
      </w:r>
      <w:hyperlink r:id="rId22">
        <w:r>
          <w:rPr>
            <w:rStyle w:val="Hyperlink"/>
            <w:rFonts w:ascii="Times New Roman" w:hAnsi="Times New Roman"/>
            <w:b w:val="false"/>
            <w:i w:val="false"/>
            <w:color w:val="000000"/>
            <w:sz w:val="22"/>
          </w:rPr>
          <w:t>481—780.5</w:t>
        </w:r>
      </w:hyperlink>
      <w:r>
        <w:rPr>
          <w:rFonts w:ascii="Times New Roman" w:hAnsi="Times New Roman"/>
          <w:b w:val="false"/>
          <w:i w:val="false"/>
          <w:color w:val="000000"/>
          <w:sz w:val="22"/>
        </w:rPr>
        <w:t xml:space="preserve">(148C), a physician associate will continue collaboration with a physician or other health care provider as defined in rule </w:t>
      </w:r>
      <w:hyperlink r:id="rId23">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 xml:space="preserve">(148C), which will be determined at the practice level.  This rule shall not be construed to apply to physician associates in independent practice who did not previously meet the criteria of rule </w:t>
      </w:r>
      <w:hyperlink r:id="rId24">
        <w:r>
          <w:rPr>
            <w:rStyle w:val="Hyperlink"/>
            <w:rFonts w:ascii="Times New Roman" w:hAnsi="Times New Roman"/>
            <w:b w:val="false"/>
            <w:i w:val="false"/>
            <w:color w:val="000000"/>
            <w:sz w:val="22"/>
          </w:rPr>
          <w:t>481—780.5</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780.7(2)</w:t>
      </w:r>
      <w:r>
        <w:rPr>
          <w:rFonts w:ascii="Times New Roman" w:hAnsi="Times New Roman"/>
          <w:b w:val="false"/>
          <w:i w:val="false"/>
          <w:color w:val="000000"/>
          <w:sz w:val="22"/>
        </w:rPr>
        <w:t> </w:t>
      </w:r>
      <w:r>
        <w:rPr>
          <w:rFonts w:ascii="Times New Roman" w:hAnsi="Times New Roman"/>
          <w:b w:val="false"/>
          <w:i w:val="false"/>
          <w:color w:val="000000"/>
          <w:sz w:val="22"/>
        </w:rPr>
        <w:t xml:space="preserve">A collaborating physician or other health care provider defined in rule </w:t>
      </w:r>
      <w:hyperlink r:id="rId25">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(148C) and a physician associate should follow best practice guidelines and discuss cases as determined at the practice level. If there are any deficiencies in care noted, the collaborating health care provider will educate the physician associate on best practice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780.7(3)</w:t>
      </w:r>
      <w:r>
        <w:rPr>
          <w:rFonts w:ascii="Times New Roman" w:hAnsi="Times New Roman"/>
          <w:b w:val="false"/>
          <w:i w:val="false"/>
          <w:color w:val="000000"/>
          <w:sz w:val="22"/>
        </w:rPr>
        <w:t> </w:t>
      </w:r>
      <w:r>
        <w:rPr>
          <w:rFonts w:ascii="Times New Roman" w:hAnsi="Times New Roman"/>
          <w:b w:val="false"/>
          <w:i w:val="false"/>
          <w:color w:val="000000"/>
          <w:sz w:val="22"/>
        </w:rPr>
        <w:t>The scope of practice for a physician associate shall be limited to medical care that is within the physician associate’s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780.7(4)</w:t>
      </w:r>
      <w:r>
        <w:rPr>
          <w:rFonts w:ascii="Times New Roman" w:hAnsi="Times New Roman"/>
          <w:b w:val="false"/>
          <w:i w:val="false"/>
          <w:color w:val="000000"/>
          <w:sz w:val="22"/>
        </w:rPr>
        <w:t> </w:t>
      </w:r>
      <w:r>
        <w:rPr>
          <w:rFonts w:ascii="Times New Roman" w:hAnsi="Times New Roman"/>
          <w:b w:val="false"/>
          <w:i w:val="false"/>
          <w:color w:val="000000"/>
          <w:sz w:val="22"/>
        </w:rPr>
        <w:t>Documentation of the collaboration between a physician associate and a physician or other health care provider shall be kept by the physician associate and provided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780.7(5)</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of other health care provider for collaboration. During the two-year period of collaboration, the other health care provider as defined in rule </w:t>
      </w:r>
      <w:hyperlink r:id="rId26">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(148C) shall be a provider who has been in practice for a minimum of five years and is not subject to discipline by the provider’s respective licensing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481—780.8</w:t>
      </w:r>
      <w:r>
        <w:rPr>
          <w:rFonts w:ascii="Times New Roman" w:hAnsi="Times New Roman"/>
          <w:b/>
          <w:i w:val="false"/>
          <w:color w:val="000000"/>
          <w:sz w:val="22"/>
        </w:rPr>
        <w:t xml:space="preserve">(148C)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780.8(1)</w:t>
      </w:r>
      <w:r>
        <w:rPr>
          <w:rFonts w:ascii="Times New Roman" w:hAnsi="Times New Roman"/>
          <w:b w:val="false"/>
          <w:i w:val="false"/>
          <w:color w:val="000000"/>
          <w:sz w:val="22"/>
        </w:rPr>
        <w:t> </w:t>
      </w:r>
      <w:r>
        <w:rPr>
          <w:rFonts w:ascii="Times New Roman" w:hAnsi="Times New Roman"/>
          <w:b w:val="false"/>
          <w:i w:val="false"/>
          <w:color w:val="000000"/>
          <w:sz w:val="22"/>
        </w:rPr>
        <w:t>The license renewal period for a license to practice will begin on October 1 and end on September 30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w:t>
      </w:r>
      <w:hyperlink r:id="rId27">
        <w:r>
          <w:rPr>
            <w:rStyle w:val="Hyperlink"/>
            <w:rFonts w:ascii="Times New Roman" w:hAnsi="Times New Roman"/>
            <w:b w:val="false"/>
            <w:i w:val="false"/>
            <w:color w:val="000000"/>
            <w:sz w:val="22"/>
          </w:rPr>
          <w:t>481—Chapter 782</w:t>
        </w:r>
      </w:hyperlink>
      <w:r>
        <w:rPr>
          <w:rFonts w:ascii="Times New Roman" w:hAnsi="Times New Roman"/>
          <w:b w:val="false"/>
          <w:i w:val="false"/>
          <w:color w:val="000000"/>
          <w:sz w:val="22"/>
        </w:rPr>
        <w:t xml:space="preserve"> and the mandatory reporting requirements of subrule </w:t>
      </w:r>
      <w:hyperlink r:id="rId28">
        <w:r>
          <w:rPr>
            <w:rStyle w:val="Hyperlink"/>
            <w:rFonts w:ascii="Times New Roman" w:hAnsi="Times New Roman"/>
            <w:b w:val="false"/>
            <w:i w:val="false"/>
            <w:color w:val="000000"/>
            <w:sz w:val="22"/>
          </w:rPr>
          <w:t>780.8(4)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the online renewal application, pay the fee, and attach certificate of completion of continuing education hours before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will indicate on the renewal application completion of training in child abuse identification and reporting as required by Iowa Code section </w:t>
      </w:r>
      <w:hyperlink r:id="rId29">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30">
        <w:r>
          <w:rPr>
            <w:rStyle w:val="Hyperlink"/>
            <w:rFonts w:ascii="Times New Roman" w:hAnsi="Times New Roman"/>
            <w:b w:val="false"/>
            <w:i w:val="false"/>
            <w:color w:val="000000"/>
            <w:sz w:val="22"/>
          </w:rPr>
          <w:t>780.8(4)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responsibilities, examines, attends, counsels or treats adults in Iowa will indicate on the renewal application completion of training in dependent adult abuse identification and reporting as required by Iowa Code section </w:t>
      </w:r>
      <w:hyperlink r:id="rId31">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32">
        <w:r>
          <w:rPr>
            <w:rStyle w:val="Hyperlink"/>
            <w:rFonts w:ascii="Times New Roman" w:hAnsi="Times New Roman"/>
            <w:b w:val="false"/>
            <w:i w:val="false"/>
            <w:color w:val="000000"/>
            <w:sz w:val="22"/>
          </w:rPr>
          <w:t>780.8(4)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will be the curriculum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will maintain written documentation for three years after mandatory training as identified in paragraphs </w:t>
      </w:r>
      <w:hyperlink r:id="rId33">
        <w:r>
          <w:rPr>
            <w:rStyle w:val="Hyperlink"/>
            <w:rFonts w:ascii="Times New Roman" w:hAnsi="Times New Roman"/>
            <w:b w:val="false"/>
            <w:i w:val="false"/>
            <w:color w:val="000000"/>
            <w:sz w:val="22"/>
          </w:rPr>
          <w:t>780.8(4)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34">
        <w:r>
          <w:rPr>
            <w:rStyle w:val="Hyperlink"/>
            <w:rFonts w:ascii="Times New Roman" w:hAnsi="Times New Roman"/>
            <w:b w:val="false"/>
            <w:i w:val="false"/>
            <w:color w:val="000000"/>
            <w:sz w:val="22"/>
          </w:rPr>
          <w:t>780.8(4)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a two-year license will be issued.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physician associate will keep the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A licensee will be assessed a late fee as specified in </w:t>
      </w:r>
      <w:hyperlink r:id="rId35">
        <w:r>
          <w:rPr>
            <w:rStyle w:val="Hyperlink"/>
            <w:rFonts w:ascii="Times New Roman" w:hAnsi="Times New Roman"/>
            <w:b w:val="false"/>
            <w:i w:val="false"/>
            <w:color w:val="000000"/>
            <w:sz w:val="22"/>
          </w:rPr>
          <w:t>481—subrule 507.14(4)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physician associate in Iowa until the license is reactivated. A licensee who practices as a physician associate in the state of Iowa with an inactive license may be subject to disciplinary action by the board, injunctive action pursuant to Iowa Code section </w:t>
      </w:r>
      <w:hyperlink r:id="rId36">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7">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Requirements for reactivation. </w:t>
      </w:r>
      <w:r>
        <w:rPr>
          <w:rFonts w:ascii="Times New Roman" w:hAnsi="Times New Roman"/>
          <w:b w:val="false"/>
          <w:i w:val="false"/>
          <w:color w:val="000000"/>
          <w:sz w:val="22"/>
        </w:rPr>
        <w:t>To apply for reactivation,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and pay the nonrefundable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physician associate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completing 100 hours of continuing education within two years of application for reactivation or NCCPA or successor agency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if disciplinary action was taken against the applicant from every jurisdiction in which the applicant has been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completing 200 hours of continuing education within two years of application for reactivation, of which at least 40 percent of the hours completed will be in Category I, or NCCPA or successor agency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9">
        <w:r>
          <w:rPr>
            <w:rStyle w:val="Hyperlink"/>
            <w:rFonts w:ascii="Times New Roman" w:hAnsi="Times New Roman"/>
            <w:b w:val="false"/>
            <w:i w:val="false"/>
            <w:color w:val="000000"/>
            <w:sz w:val="22"/>
          </w:rPr>
          <w:t>481—780.9</w:t>
        </w:r>
      </w:hyperlink>
      <w:r>
        <w:rPr>
          <w:rFonts w:ascii="Times New Roman" w:hAnsi="Times New Roman"/>
          <w:b w:val="false"/>
          <w:i w:val="false"/>
          <w:color w:val="000000"/>
          <w:sz w:val="22"/>
        </w:rPr>
        <w:t>(17A,147,272C) prior to practicing as a physician associate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481—780.11</w:t>
      </w:r>
      <w:r>
        <w:rPr>
          <w:rFonts w:ascii="Times New Roman" w:hAnsi="Times New Roman"/>
          <w:b/>
          <w:i w:val="false"/>
          <w:color w:val="000000"/>
          <w:sz w:val="22"/>
        </w:rPr>
        <w:t xml:space="preserve">(148C) </w:t>
      </w:r>
      <w:r>
        <w:rPr>
          <w:rFonts w:ascii="Times New Roman" w:hAnsi="Times New Roman"/>
          <w:b/>
          <w:i w:val="false"/>
          <w:color w:val="000000"/>
          <w:sz w:val="22"/>
        </w:rPr>
        <w:t xml:space="preserve">Use of title. </w:t>
      </w:r>
      <w:r>
        <w:rPr>
          <w:rFonts w:ascii="Times New Roman" w:hAnsi="Times New Roman"/>
          <w:b w:val="false"/>
          <w:i w:val="false"/>
          <w:color w:val="000000"/>
          <w:sz w:val="22"/>
        </w:rPr>
        <w:t xml:space="preserve">A physician associate licensed under Iowa Code chapter </w:t>
      </w:r>
      <w:hyperlink r:id="rId4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may use the words “physician associate” after the person’s name or signify the same by the use of the letters “PA.” A person who meets the qualifications for licensure under Iowa Code chapter </w:t>
      </w:r>
      <w:hyperlink r:id="rId4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but does not possess a current license may use the title “PA” or “physician associate” but may not act or practice as a physician associate unless licensed under Iowa Code chapter </w:t>
      </w:r>
      <w:hyperlink r:id="rId4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481—780.12</w:t>
      </w:r>
      <w:r>
        <w:rPr>
          <w:rFonts w:ascii="Times New Roman" w:hAnsi="Times New Roman"/>
          <w:b/>
          <w:i w:val="false"/>
          <w:color w:val="000000"/>
          <w:sz w:val="22"/>
        </w:rPr>
        <w:t xml:space="preserve">(148C) </w:t>
      </w:r>
      <w:r>
        <w:rPr>
          <w:rFonts w:ascii="Times New Roman" w:hAnsi="Times New Roman"/>
          <w:b/>
          <w:i w:val="false"/>
          <w:color w:val="000000"/>
          <w:sz w:val="22"/>
        </w:rPr>
        <w:t xml:space="preserve">Address change. </w:t>
      </w:r>
      <w:r>
        <w:rPr>
          <w:rFonts w:ascii="Times New Roman" w:hAnsi="Times New Roman"/>
          <w:b w:val="false"/>
          <w:i w:val="false"/>
          <w:color w:val="000000"/>
          <w:sz w:val="22"/>
        </w:rPr>
        <w:t>A physician associate will notify the board of any change in permanent address within 30 days of its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481—780.13</w:t>
      </w:r>
      <w:r>
        <w:rPr>
          <w:rFonts w:ascii="Times New Roman" w:hAnsi="Times New Roman"/>
          <w:b/>
          <w:i w:val="false"/>
          <w:color w:val="000000"/>
          <w:sz w:val="22"/>
        </w:rPr>
        <w:t xml:space="preserve">(148C) </w:t>
      </w:r>
      <w:r>
        <w:rPr>
          <w:rFonts w:ascii="Times New Roman" w:hAnsi="Times New Roman"/>
          <w:b/>
          <w:i w:val="false"/>
          <w:color w:val="000000"/>
          <w:sz w:val="22"/>
        </w:rPr>
        <w:t xml:space="preserve">Student physician associate.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780.13(1)</w:t>
      </w:r>
      <w:r>
        <w:rPr>
          <w:rFonts w:ascii="Times New Roman" w:hAnsi="Times New Roman"/>
          <w:b w:val="false"/>
          <w:i w:val="false"/>
          <w:color w:val="000000"/>
          <w:sz w:val="22"/>
        </w:rPr>
        <w:t> </w:t>
      </w:r>
      <w:r>
        <w:rPr>
          <w:rFonts w:ascii="Times New Roman" w:hAnsi="Times New Roman"/>
          <w:b w:val="false"/>
          <w:i w:val="false"/>
          <w:color w:val="000000"/>
          <w:sz w:val="22"/>
        </w:rPr>
        <w:t>Any person who is enrolled as a student in an approved program will comply with the rules set forth in this chapter. A student is exempted from licensure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780.13(2)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provisions of these rules, a student may perform medical services when the medical services are rendered within the scope of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4"/>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1/19/05, Notice 11/10/04—published 2/16/05, effective 3/23/05]</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4/20/06, Notice 2/15/06—published 5/10/06, effective 6/14/06]</w:t>
      </w:r>
    </w:p>
    <w:p>
      <w:pPr>
        <w:spacing w:before="0" w:after="0"/>
        <w:ind w:left="120"/>
        <w:jc w:val="center"/>
      </w:pPr>
      <w:r>
        <w:rPr>
          <w:rFonts w:ascii="Times New Roman" w:hAnsi="Times New Roman"/>
          <w:b w:val="false"/>
          <w:i w:val="false"/>
          <w:color w:val="000000"/>
          <w:sz w:val="21"/>
        </w:rPr>
        <w:t>[Filed 1/18/07, Notice 11/8/06—published 2/14/07, effective 3/21/07]</w:t>
      </w:r>
    </w:p>
    <w:p>
      <w:pPr>
        <w:spacing w:before="0" w:after="0"/>
        <w:ind w:left="120"/>
        <w:jc w:val="center"/>
      </w:pPr>
      <w:r>
        <w:rPr>
          <w:rFonts w:ascii="Times New Roman" w:hAnsi="Times New Roman"/>
          <w:b w:val="false"/>
          <w:i w:val="false"/>
          <w:color w:val="000000"/>
          <w:sz w:val="21"/>
        </w:rPr>
        <w:t>[Filed 2/5/07, Notice 11/8/06—published 2/28/07, effective 4/4/07]</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9665B</w:t>
      </w:r>
      <w:r>
        <w:rPr>
          <w:rFonts w:ascii="Times New Roman" w:hAnsi="Times New Roman"/>
          <w:b w:val="false"/>
          <w:i w:val="false"/>
          <w:color w:val="000000"/>
          <w:sz w:val="21"/>
        </w:rPr>
        <w:t xml:space="preserve"> (Notice ARC 9549B,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0462C</w:t>
      </w:r>
      <w:r>
        <w:rPr>
          <w:rFonts w:ascii="Times New Roman" w:hAnsi="Times New Roman"/>
          <w:b w:val="false"/>
          <w:i w:val="false"/>
          <w:color w:val="000000"/>
          <w:sz w:val="21"/>
        </w:rPr>
        <w:t xml:space="preserve"> (Notice ARC 0283C, IAB 8/22/12)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4952C</w:t>
      </w:r>
      <w:r>
        <w:rPr>
          <w:rFonts w:ascii="Times New Roman" w:hAnsi="Times New Roman"/>
          <w:b w:val="false"/>
          <w:i w:val="false"/>
          <w:color w:val="000000"/>
          <w:sz w:val="21"/>
        </w:rPr>
        <w:t xml:space="preserve"> (Notice ARC 4662C,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5752C</w:t>
      </w:r>
      <w:r>
        <w:rPr>
          <w:rFonts w:ascii="Times New Roman" w:hAnsi="Times New Roman"/>
          <w:b w:val="false"/>
          <w:i w:val="false"/>
          <w:color w:val="000000"/>
          <w:sz w:val="21"/>
        </w:rPr>
        <w:t xml:space="preserve"> (Notice ARC 5368C,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6896C</w:t>
      </w:r>
      <w:r>
        <w:rPr>
          <w:rFonts w:ascii="Times New Roman" w:hAnsi="Times New Roman"/>
          <w:b w:val="false"/>
          <w:i w:val="false"/>
          <w:color w:val="000000"/>
          <w:sz w:val="21"/>
        </w:rPr>
        <w:t xml:space="preserve"> (Notice ARC 6664C, IAB 11/16/22)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9536C</w:t>
      </w:r>
      <w:r>
        <w:rPr>
          <w:rFonts w:ascii="Times New Roman" w:hAnsi="Times New Roman"/>
          <w:b w:val="false"/>
          <w:i w:val="false"/>
          <w:color w:val="000000"/>
          <w:sz w:val="21"/>
        </w:rPr>
        <w:t xml:space="preserve"> (Notice ARC 9377C, IAB 6/25/25)</w:t>
      </w:r>
      <w:r>
        <w:rPr>
          <w:rFonts w:ascii="Times New Roman" w:hAnsi="Times New Roman"/>
          <w:b w:val="false"/>
          <w:i w:val="false"/>
          <w:color w:val="000000"/>
          <w:sz w:val="21"/>
        </w:rPr>
        <w:t>, IAB 9/3/25, effective 10/8/25]</w:t>
      </w:r>
    </w:p>
    <w:p>
      <w:pPr>
        <w:spacing w:before="0" w:after="0"/>
        <w:ind w:left="120"/>
        <w:jc w:val="center"/>
      </w:pPr>
      <w:r>
        <w:rPr>
          <w:rFonts w:ascii="Times New Roman" w:hAnsi="Times New Roman"/>
          <w:b w:val="false"/>
          <w:i w:val="false"/>
          <w:color w:val="000000"/>
          <w:sz w:val="21"/>
        </w:rPr>
        <w:t>[Editorial change: IAC Supplement 10/29/25]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326.1, “remote medical site,” delayed 70 days by the Administrative Rules Review Committee at its meeting held June 7, 2004.</w:t>
      </w:r>
    </w:p>
    <w:sectPr>
      <w:footerReference r:id="rId4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C.1.pdf" Type="http://schemas.openxmlformats.org/officeDocument/2006/relationships/hyperlink" Id="rId5"/>
    <Relationship TargetMode="External" Target="https://www.legis.iowa.gov/docs/ico/chapter/232.69.pdf" Type="http://schemas.openxmlformats.org/officeDocument/2006/relationships/hyperlink" Id="rId6"/>
    <Relationship TargetMode="External" Target="https://www.legis.iowa.gov/docs/ico/chapter/235B.16.pdf" Type="http://schemas.openxmlformats.org/officeDocument/2006/relationships/hyperlink" Id="rId7"/>
    <Relationship TargetMode="External" Target="https://www.legis.iowa.gov/docs/ico/chapter/148C.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24.pdf" Type="http://schemas.openxmlformats.org/officeDocument/2006/relationships/hyperlink" Id="rId10"/>
    <Relationship TargetMode="External" Target="https://www.legis.iowa.gov/docs/iac/chapter/481.556.pdf" Type="http://schemas.openxmlformats.org/officeDocument/2006/relationships/hyperlink" Id="rId11"/>
    <Relationship TargetMode="External" Target="https://www.legis.iowa.gov/docs/iac/rule/481.780.9.pdf" Type="http://schemas.openxmlformats.org/officeDocument/2006/relationships/hyperlink" Id="rId12"/>
    <Relationship TargetMode="External" Target="https://www.legis.iowa.gov/docs/iac/rule/481.506.31.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ac/rule/481.780.2.pdf" Type="http://schemas.openxmlformats.org/officeDocument/2006/relationships/hyperlink" Id="rId15"/>
    <Relationship TargetMode="External" Target="https://www.legis.iowa.gov/docs/iac/rule/481.501.1.pdf" Type="http://schemas.openxmlformats.org/officeDocument/2006/relationships/hyperlink" Id="rId16"/>
    <Relationship TargetMode="External" Target="https://www.legis.iowa.gov/docs/iac/rule/481.780.2.pdf" Type="http://schemas.openxmlformats.org/officeDocument/2006/relationships/hyperlink" Id="rId17"/>
    <Relationship TargetMode="External" Target="https://www.legis.iowa.gov/docs/iac/rule/481.780.2.pdf" Type="http://schemas.openxmlformats.org/officeDocument/2006/relationships/hyperlink" Id="rId18"/>
    <Relationship TargetMode="External" Target="https://www.legis.iowa.gov/docs/ico/chapter/148C.1.pdf" Type="http://schemas.openxmlformats.org/officeDocument/2006/relationships/hyperlink" Id="rId19"/>
    <Relationship TargetMode="External" Target="https://www.legis.iowa.gov/docs/ico/chapter/148C.1.pdf" Type="http://schemas.openxmlformats.org/officeDocument/2006/relationships/hyperlink" Id="rId20"/>
    <Relationship TargetMode="External" Target="https://www.legis.iowa.gov/docs/iac/rule/653.21.1.pdf" Type="http://schemas.openxmlformats.org/officeDocument/2006/relationships/hyperlink" Id="rId21"/>
    <Relationship TargetMode="External" Target="https://www.legis.iowa.gov/docs/iac/rule/481.780.5.pdf" Type="http://schemas.openxmlformats.org/officeDocument/2006/relationships/hyperlink" Id="rId22"/>
    <Relationship TargetMode="External" Target="https://www.legis.iowa.gov/docs/iac/rule/481.780.1.pdf" Type="http://schemas.openxmlformats.org/officeDocument/2006/relationships/hyperlink" Id="rId23"/>
    <Relationship TargetMode="External" Target="https://www.legis.iowa.gov/docs/iac/rule/481.780.5.pdf" Type="http://schemas.openxmlformats.org/officeDocument/2006/relationships/hyperlink" Id="rId24"/>
    <Relationship TargetMode="External" Target="https://www.legis.iowa.gov/docs/iac/rule/481.780.1.pdf" Type="http://schemas.openxmlformats.org/officeDocument/2006/relationships/hyperlink" Id="rId25"/>
    <Relationship TargetMode="External" Target="https://www.legis.iowa.gov/docs/iac/rule/481.780.1.pdf" Type="http://schemas.openxmlformats.org/officeDocument/2006/relationships/hyperlink" Id="rId26"/>
    <Relationship TargetMode="External" Target="https://www.legis.iowa.gov/docs/iac/chapter/481.782.pdf" Type="http://schemas.openxmlformats.org/officeDocument/2006/relationships/hyperlink" Id="rId27"/>
    <Relationship TargetMode="External" Target="https://www.legis.iowa.gov/docs/iac/rule/481.780.8.pdf" Type="http://schemas.openxmlformats.org/officeDocument/2006/relationships/hyperlink" Id="rId28"/>
    <Relationship TargetMode="External" Target="https://www.legis.iowa.gov/docs/ico/chapter/232.69.pdf" Type="http://schemas.openxmlformats.org/officeDocument/2006/relationships/hyperlink" Id="rId29"/>
    <Relationship TargetMode="External" Target="https://www.legis.iowa.gov/docs/iac/rule/481.780.8.pdf" Type="http://schemas.openxmlformats.org/officeDocument/2006/relationships/hyperlink" Id="rId30"/>
    <Relationship TargetMode="External" Target="https://www.legis.iowa.gov/docs/ico/chapter/235B.16.pdf" Type="http://schemas.openxmlformats.org/officeDocument/2006/relationships/hyperlink" Id="rId31"/>
    <Relationship TargetMode="External" Target="https://www.legis.iowa.gov/docs/iac/rule/481.780.8.pdf" Type="http://schemas.openxmlformats.org/officeDocument/2006/relationships/hyperlink" Id="rId32"/>
    <Relationship TargetMode="External" Target="https://www.legis.iowa.gov/docs/iac/rule/481.780.8.pdf" Type="http://schemas.openxmlformats.org/officeDocument/2006/relationships/hyperlink" Id="rId33"/>
    <Relationship TargetMode="External" Target="https://www.legis.iowa.gov/docs/iac/rule/481.780.8.pdf" Type="http://schemas.openxmlformats.org/officeDocument/2006/relationships/hyperlink" Id="rId34"/>
    <Relationship TargetMode="External" Target="https://www.legis.iowa.gov/docs/iac/rule/481.507.14.pdf" Type="http://schemas.openxmlformats.org/officeDocument/2006/relationships/hyperlink" Id="rId35"/>
    <Relationship TargetMode="External" Target="https://www.legis.iowa.gov/docs/ico/chapter/147.83.pdf" Type="http://schemas.openxmlformats.org/officeDocument/2006/relationships/hyperlink" Id="rId36"/>
    <Relationship TargetMode="External" Target="https://www.legis.iowa.gov/docs/ico/chapter/147.86.pdf" Type="http://schemas.openxmlformats.org/officeDocument/2006/relationships/hyperlink" Id="rId37"/>
    <Relationship TargetMode="External" Target="https://www.legis.iowa.gov/docs/iac/rule/481.506.31.pdf" Type="http://schemas.openxmlformats.org/officeDocument/2006/relationships/hyperlink" Id="rId38"/>
    <Relationship TargetMode="External" Target="https://www.legis.iowa.gov/docs/iac/rule/481.780.9.pdf" Type="http://schemas.openxmlformats.org/officeDocument/2006/relationships/hyperlink" Id="rId39"/>
    <Relationship TargetMode="External" Target="https://www.legis.iowa.gov/docs/ico/chapter/148C.pdf" Type="http://schemas.openxmlformats.org/officeDocument/2006/relationships/hyperlink" Id="rId40"/>
    <Relationship TargetMode="External" Target="https://www.legis.iowa.gov/docs/ico/chapter/148C.pdf" Type="http://schemas.openxmlformats.org/officeDocument/2006/relationships/hyperlink" Id="rId41"/>
    <Relationship TargetMode="External" Target="https://www.legis.iowa.gov/docs/ico/chapter/148C.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47.pdf" Type="http://schemas.openxmlformats.org/officeDocument/2006/relationships/hyperlink" Id="rId44"/>
    <Relationship TargetMode="External" Target="https://www.legis.iowa.gov/docs/ico/chapter/148C.pdf" Type="http://schemas.openxmlformats.org/officeDocument/2006/relationships/hyperlink" Id="rId45"/>
    <Relationship TargetMode="External" Target="https://www.legis.iowa.gov/docs/ico/chapter/272C.pdf" Type="http://schemas.openxmlformats.org/officeDocument/2006/relationships/hyperlink" Id="rId46"/>
    <Relationship Target="footer.xml" Type="http://schemas.openxmlformats.org/officeDocument/2006/relationships/footer"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