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762</w:t>
      </w:r>
    </w:p>
    <w:p>
      <w:pPr>
        <w:spacing w:before="0" w:after="0"/>
        <w:ind w:left="120"/>
        <w:jc w:val="center"/>
      </w:pPr>
      <w:r>
        <w:rPr>
          <w:rFonts w:ascii="Times New Roman" w:hAnsi="Times New Roman"/>
          <w:b w:val="false"/>
          <w:i w:val="false"/>
          <w:color w:val="000000"/>
          <w:sz w:val="21"/>
        </w:rPr>
        <w:t>PRACTICE OF OPTOMETRISTS</w:t>
      </w:r>
    </w:p>
    <w:p>
      <w:pPr>
        <w:spacing w:before="0" w:after="0"/>
        <w:ind w:left="120"/>
        <w:jc w:val="center"/>
      </w:pPr>
      <w:r>
        <w:rPr>
          <w:rFonts w:ascii="Times New Roman" w:hAnsi="Times New Roman"/>
          <w:b w:val="false"/>
          <w:i w:val="false"/>
          <w:color w:val="000000"/>
          <w:sz w:val="14"/>
        </w:rPr>
        <w:t>[Prior to 8/7/02, see 645—179.4(154), 179.5(154,272C), 179.7(154) and 179.8(155A)]</w:t>
      </w:r>
    </w:p>
    <w:p>
      <w:pPr>
        <w:spacing w:before="0" w:after="0"/>
        <w:ind w:left="120"/>
        <w:jc w:val="center"/>
      </w:pPr>
      <w:r>
        <w:rPr>
          <w:rFonts w:ascii="Times New Roman" w:hAnsi="Times New Roman"/>
          <w:b w:val="false"/>
          <w:i w:val="false"/>
          <w:color w:val="000000"/>
          <w:sz w:val="14"/>
        </w:rPr>
        <w:t>[Prior to 9/18/24, see Professional Licensure Division[645] Ch 182]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481—762.1</w:t>
      </w:r>
      <w:r>
        <w:rPr>
          <w:rFonts w:ascii="Times New Roman" w:hAnsi="Times New Roman"/>
          <w:b/>
          <w:i w:val="false"/>
          <w:color w:val="000000"/>
          <w:sz w:val="22"/>
        </w:rPr>
        <w:t xml:space="preserve">(154) </w:t>
      </w:r>
      <w:r>
        <w:rPr>
          <w:rFonts w:ascii="Times New Roman" w:hAnsi="Times New Roman"/>
          <w:b/>
          <w:i w:val="false"/>
          <w:color w:val="000000"/>
          <w:sz w:val="22"/>
        </w:rPr>
        <w:t xml:space="preserve">Code of ethics. </w:t>
      </w:r>
      <w:r>
        <w:rPr>
          <w:rFonts w:ascii="Times New Roman" w:hAnsi="Times New Roman"/>
          <w:b w:val="false"/>
          <w:i w:val="false"/>
          <w:color w:val="000000"/>
          <w:sz w:val="22"/>
        </w:rPr>
        <w:t>The board hereby adopts by reference the Code of Ethics of the American Optometric Association as published by the American Optometric Association, 243 North Lindbergh Boulevard,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Missouri 63141, modified June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481—762.2</w:t>
      </w:r>
      <w:r>
        <w:rPr>
          <w:rFonts w:ascii="Times New Roman" w:hAnsi="Times New Roman"/>
          <w:b/>
          <w:i w:val="false"/>
          <w:color w:val="000000"/>
          <w:sz w:val="22"/>
        </w:rPr>
        <w:t xml:space="preserve">(154,272C) </w:t>
      </w:r>
      <w:r>
        <w:rPr>
          <w:rFonts w:ascii="Times New Roman" w:hAnsi="Times New Roman"/>
          <w:b/>
          <w:i w:val="false"/>
          <w:color w:val="000000"/>
          <w:sz w:val="22"/>
        </w:rPr>
        <w:t xml:space="preserve">Recordkeeping. </w:t>
      </w:r>
      <w:r>
        <w:rPr>
          <w:rFonts w:ascii="Times New Roman" w:hAnsi="Times New Roman"/>
          <w:b w:val="false"/>
          <w:i w:val="false"/>
          <w:color w:val="000000"/>
          <w:sz w:val="22"/>
        </w:rPr>
        <w:t>Optometrists will maintain patient records in a manner consistent with the protection of the welfare of the patient. Records will be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762.2(1)</w:t>
      </w:r>
      <w:r>
        <w:rPr>
          <w:rFonts w:ascii="Times New Roman" w:hAnsi="Times New Roman"/>
          <w:b w:val="false"/>
          <w:i w:val="false"/>
          <w:color w:val="000000"/>
          <w:sz w:val="22"/>
        </w:rPr>
        <w:t> </w:t>
      </w:r>
      <w:r>
        <w:rPr>
          <w:rFonts w:ascii="Times New Roman" w:hAnsi="Times New Roman"/>
          <w:b w:val="false"/>
          <w:i w:val="false"/>
          <w:color w:val="000000"/>
          <w:sz w:val="22"/>
        </w:rPr>
        <w:t>Optometrists will maintain optometry records for each patient. The records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emergency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Optometry and medical history. </w:t>
      </w:r>
      <w:r>
        <w:rPr>
          <w:rFonts w:ascii="Times New Roman" w:hAnsi="Times New Roman"/>
          <w:b w:val="false"/>
          <w:i w:val="false"/>
          <w:color w:val="000000"/>
          <w:sz w:val="22"/>
        </w:rPr>
        <w:t>Optometry records will include information from the patient or the patient’s parent or guardian regarding the patient’s optometric and medical history. The information will include 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Optometric records will include the patient’s stated visual health care reasons for visiting the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Optometric records will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ancillary testing,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Vision tests completed and visual acuity;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optometrist who performs any treatment or service or who may have contact with a patient regarding the patient’s optometric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Optometric records will include documentation of informed consent for procedure(s) and treatment that have potential serious complications and known risks.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762.2(2)</w:t>
      </w:r>
      <w:r>
        <w:rPr>
          <w:rFonts w:ascii="Times New Roman" w:hAnsi="Times New Roman"/>
          <w:b w:val="false"/>
          <w:i w:val="false"/>
          <w:color w:val="000000"/>
          <w:sz w:val="22"/>
        </w:rPr>
        <w:t> </w:t>
      </w:r>
      <w:r>
        <w:rPr>
          <w:rFonts w:ascii="Times New Roman" w:hAnsi="Times New Roman"/>
          <w:b w:val="false"/>
          <w:i w:val="false"/>
          <w:color w:val="000000"/>
          <w:sz w:val="22"/>
        </w:rPr>
        <w:t>Retention of records. An optometrist will maintain a patient’s record(s) for a minimum of five years after the date of last examination, prescription, or treatment. Records for minors will be maintained for, at minimum, one year after the patient reaches the age of majority (18) or five years after the date of last examination, prescription, or treatment, whichever is longer.</w:t>
      </w:r>
    </w:p>
    <w:p>
      <w:pPr>
        <w:spacing w:before="0" w:after="0"/>
        <w:ind w:left="120"/>
        <w:jc w:val="both"/>
      </w:pPr>
      <w:r>
        <w:rPr>
          <w:rFonts w:ascii="Times New Roman" w:hAnsi="Times New Roman"/>
          <w:b w:val="false"/>
          <w:i w:val="false"/>
          <w:color w:val="000000"/>
          <w:sz w:val="22"/>
        </w:rPr>
        <w:t>Proper safeguards will be maintained to ensure the safety of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an optometrist will keep either a duplicate hard-copy record or a back-up unalterable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 Notations will be legible, written in ink, and contain no erasures or white-outs. If incorrect information is placed in the record, it must be crossed out with a single nondeleting line and be initialed by an optometric health care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Optometrists will preserve the confidentiality of patient records in a manner consistent with the protection of the welfare of the patient. Upon request of the patient or the patient’s new optometrist, the optometrist will furnish such optometry records or copies of the records as will be beneficial for the future treatment of that patient. The optometrist may include a summary of the record(s) with the record(s) or copy of the record(s). The optometrist may charge a nominal fee for duplication of records, but may not refuse to transfer records for nonpayment of any fees. The optometrist may ask for a written request for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A licensee, upon retirement, or upon discontinuation of the practice of optometry, or upon leaving a practice or moving from a community, will notify all active patients in writing, or by publication once a week for three consecutive weeks in a newspaper of general circulation in the community, that the licensee intends to discontinue the practice of optometry in the community, and will encourage patients to seek the services of another licensee. The licensee will make reasonable arrangements with active patients for the transfer of patient records, or copies of those records, to the succeeding licensee. “Active patient” means a person whom the licensee has examined, treated, cared for, or otherwise consulted with during the two-year period prior to retirement, discontinuation of the practice of optometry, or leaving a practice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will prohibit a licensee from conveying or transferring the licensee’s patient records to another licensed optometrist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481—762.3</w:t>
      </w:r>
      <w:r>
        <w:rPr>
          <w:rFonts w:ascii="Times New Roman" w:hAnsi="Times New Roman"/>
          <w:b/>
          <w:i w:val="false"/>
          <w:color w:val="000000"/>
          <w:sz w:val="22"/>
        </w:rPr>
        <w:t xml:space="preserve">(154) </w:t>
      </w:r>
      <w:r>
        <w:rPr>
          <w:rFonts w:ascii="Times New Roman" w:hAnsi="Times New Roman"/>
          <w:b/>
          <w:i w:val="false"/>
          <w:color w:val="000000"/>
          <w:sz w:val="22"/>
        </w:rPr>
        <w:t xml:space="preserve">Furnishing prescriptions. </w:t>
      </w:r>
      <w:r>
        <w:rPr>
          <w:rFonts w:ascii="Times New Roman" w:hAnsi="Times New Roman"/>
          <w:b w:val="false"/>
          <w:i w:val="false"/>
          <w:color w:val="000000"/>
          <w:sz w:val="22"/>
        </w:rPr>
        <w:t>Before a licensed optometrist provides a spectacle or contact lens prescription to a patient, the eye examination record will include best-corrected visual acuity with ophthalmic lenses or contact lenses in the lens powers determined by refraction. Each contact lens or ophthalmic spectacle lens/eyeglass prescription by a licensed optometrist must meet the requirements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762.3(1)</w:t>
      </w:r>
      <w:r>
        <w:rPr>
          <w:rFonts w:ascii="Times New Roman" w:hAnsi="Times New Roman"/>
          <w:b w:val="false"/>
          <w:i w:val="false"/>
          <w:color w:val="000000"/>
          <w:sz w:val="22"/>
        </w:rPr>
        <w:t> </w:t>
      </w:r>
      <w:r>
        <w:rPr>
          <w:rFonts w:ascii="Times New Roman" w:hAnsi="Times New Roman"/>
          <w:b w:val="false"/>
          <w:i w:val="false"/>
          <w:color w:val="000000"/>
          <w:sz w:val="22"/>
        </w:rPr>
        <w:t>A contact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patient for whom the contact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required to duplicate properly the original contact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18 months, the quantity of lenses allowed and the number of refills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the option of the prescribing practitioner, the prescription may contain fitting and material guidelines and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762.3(2)</w:t>
      </w:r>
      <w:r>
        <w:rPr>
          <w:rFonts w:ascii="Times New Roman" w:hAnsi="Times New Roman"/>
          <w:b w:val="false"/>
          <w:i w:val="false"/>
          <w:color w:val="000000"/>
          <w:sz w:val="22"/>
        </w:rPr>
        <w:t> </w:t>
      </w:r>
      <w:r>
        <w:rPr>
          <w:rFonts w:ascii="Times New Roman" w:hAnsi="Times New Roman"/>
          <w:b w:val="false"/>
          <w:i w:val="false"/>
          <w:color w:val="000000"/>
          <w:sz w:val="22"/>
        </w:rPr>
        <w:t>Release of contact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contact lenses have been adequately adapted and the patient released from initial follow-up care by the prescribing practitioner, the prescribing practitioner will provide a copy of the contact lens prescription, at no cost, for the duplication of the original contact lens. A licensed optometrist may refuse to provide a copy of the contact lens prescription if the patient has not paid the fees associated with the examination from which the prescription was generated including applicable contact lens fitting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practitioner choosing to issue an oral prescription will furnish the same information required for the written prescription except for the written signature and address of the practitioner. An oral prescription may be released by an O.D. to any dispensing person who is a licensed professional with the O.D., M.D., D.O., or R.Ph. degree or a person under direct supervision of those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issuing of an oral prescription will be followed by a written copy to be kept by the dispenser of the contact lenses until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762.3(3)</w:t>
      </w:r>
      <w:r>
        <w:rPr>
          <w:rFonts w:ascii="Times New Roman" w:hAnsi="Times New Roman"/>
          <w:b w:val="false"/>
          <w:i w:val="false"/>
          <w:color w:val="000000"/>
          <w:sz w:val="22"/>
        </w:rPr>
        <w:t> </w:t>
      </w:r>
      <w:r>
        <w:rPr>
          <w:rFonts w:ascii="Times New Roman" w:hAnsi="Times New Roman"/>
          <w:b w:val="false"/>
          <w:i w:val="false"/>
          <w:color w:val="000000"/>
          <w:sz w:val="22"/>
        </w:rPr>
        <w:t>An ophthalmic spectacle lens prescription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and date of birth of the patient for whom the ophthalmic lens or lenses are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signature of the practitioner issuing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parameters necessary to duplicate properly the ophthalmic lens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date of expiration not to exceed two years.</w:t>
      </w:r>
    </w:p>
    <w:p>
      <w:pPr>
        <w:spacing w:before="0" w:after="0"/>
        <w:ind w:left="120"/>
        <w:jc w:val="both"/>
      </w:pPr>
      <w:r>
        <w:rPr>
          <w:rFonts w:ascii="Times New Roman" w:hAnsi="Times New Roman"/>
          <w:b w:val="false"/>
          <w:i w:val="false"/>
          <w:color w:val="000000"/>
          <w:sz w:val="22"/>
        </w:rPr>
        <w:t>A dispenser of ophthalmic materials, in spectacle or eyeglass form, must keep a valid copy of the prescription on file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762.3(4)</w:t>
      </w:r>
      <w:r>
        <w:rPr>
          <w:rFonts w:ascii="Times New Roman" w:hAnsi="Times New Roman"/>
          <w:b w:val="false"/>
          <w:i w:val="false"/>
          <w:color w:val="000000"/>
          <w:sz w:val="22"/>
        </w:rPr>
        <w:t> </w:t>
      </w:r>
      <w:r>
        <w:rPr>
          <w:rFonts w:ascii="Times New Roman" w:hAnsi="Times New Roman"/>
          <w:b w:val="false"/>
          <w:i w:val="false"/>
          <w:color w:val="000000"/>
          <w:sz w:val="22"/>
        </w:rPr>
        <w:t>Release of ophthalmic lens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ophthalmic lens prescription will be furnished upon request at no additional charge to the patient. A licensed optometrist may refuse to provide a copy of the ophthalmic lens prescription if the patient has not paid the fees associated with the examination from which the prescription was generated.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prescription, at the option of the prescriber, may contain adapting and material guidelines and may also contain specific instructions for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Spectacle lens prescriptions will be in written format, according to Iowa Code section </w:t>
      </w:r>
      <w:hyperlink r:id="rId8">
        <w:r>
          <w:rPr>
            <w:rStyle w:val="Hyperlink"/>
            <w:rFonts w:ascii="Times New Roman" w:hAnsi="Times New Roman"/>
            <w:b w:val="false"/>
            <w:i w:val="false"/>
            <w:color w:val="000000"/>
            <w:sz w:val="22"/>
          </w:rPr>
          <w:t>147.109(1)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481—762.4</w:t>
      </w:r>
      <w:r>
        <w:rPr>
          <w:rFonts w:ascii="Times New Roman" w:hAnsi="Times New Roman"/>
          <w:b/>
          <w:i w:val="false"/>
          <w:color w:val="000000"/>
          <w:sz w:val="22"/>
        </w:rPr>
        <w:t xml:space="preserve">(155A) </w:t>
      </w:r>
      <w:r>
        <w:rPr>
          <w:rFonts w:ascii="Times New Roman" w:hAnsi="Times New Roman"/>
          <w:b/>
          <w:i w:val="false"/>
          <w:color w:val="000000"/>
          <w:sz w:val="22"/>
        </w:rPr>
        <w:t xml:space="preserve">Prescription drug orders. </w:t>
      </w:r>
      <w:r>
        <w:rPr>
          <w:rFonts w:ascii="Times New Roman" w:hAnsi="Times New Roman"/>
          <w:b w:val="false"/>
          <w:i w:val="false"/>
          <w:color w:val="000000"/>
          <w:sz w:val="22"/>
        </w:rPr>
        <w:t>Each prescription drug order furnished by an optometrist in this state will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762.4(1)</w:t>
      </w:r>
      <w:r>
        <w:rPr>
          <w:rFonts w:ascii="Times New Roman" w:hAnsi="Times New Roman"/>
          <w:b w:val="false"/>
          <w:i w:val="false"/>
          <w:color w:val="000000"/>
          <w:sz w:val="22"/>
        </w:rPr>
        <w:t> </w:t>
      </w:r>
      <w:r>
        <w:rPr>
          <w:rFonts w:ascii="Times New Roman" w:hAnsi="Times New Roman"/>
          <w:b w:val="false"/>
          <w:i w:val="false"/>
          <w:color w:val="000000"/>
          <w:sz w:val="22"/>
        </w:rPr>
        <w:t>Written prescription drug orders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date of birth of the patient for whom the drug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use of the drug, medicine, or device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written signature of the practitioner issuing the prescription;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drug enforcement administration number, if required under Iowa Code chapter </w:t>
      </w:r>
      <w:hyperlink r:id="rId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762.4(2)</w:t>
      </w:r>
      <w:r>
        <w:rPr>
          <w:rFonts w:ascii="Times New Roman" w:hAnsi="Times New Roman"/>
          <w:b w:val="false"/>
          <w:i w:val="false"/>
          <w:color w:val="000000"/>
          <w:sz w:val="22"/>
        </w:rPr>
        <w:t> </w:t>
      </w:r>
      <w:r>
        <w:rPr>
          <w:rFonts w:ascii="Times New Roman" w:hAnsi="Times New Roman"/>
          <w:b w:val="false"/>
          <w:i w:val="false"/>
          <w:color w:val="000000"/>
          <w:sz w:val="22"/>
        </w:rPr>
        <w:t>The practitioner issuing oral prescription drug orders will furnish the same information required for a written prescription, except for the written signature and address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762.4(3)</w:t>
      </w:r>
      <w:r>
        <w:rPr>
          <w:rFonts w:ascii="Times New Roman" w:hAnsi="Times New Roman"/>
          <w:b w:val="false"/>
          <w:i w:val="false"/>
          <w:color w:val="000000"/>
          <w:sz w:val="22"/>
        </w:rPr>
        <w:t> </w:t>
      </w:r>
      <w:r>
        <w:rPr>
          <w:rFonts w:ascii="Times New Roman" w:hAnsi="Times New Roman"/>
          <w:b w:val="false"/>
          <w:i w:val="false"/>
          <w:color w:val="000000"/>
          <w:sz w:val="22"/>
        </w:rPr>
        <w:t>Prior to prescribing any controlled substance, an optometrist will review the patient’s information contained in the prescription monitoring program database, unless the patient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762.4(4)</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2020, every prescription issued for a prescription drug will be transmitted electronically unless exempted pursuant to Iowa Code section </w:t>
      </w:r>
      <w:hyperlink r:id="rId1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Beginning January 1, 2020, a licensee who fails to comply with the electronic prescription mandate may be subject to a nondisciplinary administrative penalty of $250 per violation, up to a maximum of $5,000 per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481—762.5</w:t>
      </w:r>
      <w:r>
        <w:rPr>
          <w:rFonts w:ascii="Times New Roman" w:hAnsi="Times New Roman"/>
          <w:b/>
          <w:i w:val="false"/>
          <w:color w:val="000000"/>
          <w:sz w:val="22"/>
        </w:rPr>
        <w:t xml:space="preserve">(154) </w:t>
      </w:r>
      <w:r>
        <w:rPr>
          <w:rFonts w:ascii="Times New Roman" w:hAnsi="Times New Roman"/>
          <w:b/>
          <w:i w:val="false"/>
          <w:color w:val="000000"/>
          <w:sz w:val="22"/>
        </w:rPr>
        <w:t xml:space="preserve">Use of injectables. </w:t>
      </w:r>
      <w:r>
        <w:rPr>
          <w:rFonts w:ascii="Times New Roman" w:hAnsi="Times New Roman"/>
          <w:b w:val="false"/>
          <w:i w:val="false"/>
          <w:color w:val="000000"/>
          <w:sz w:val="22"/>
        </w:rPr>
        <w:t>A licensed optometrist shall not administer any injection prior to receiving approval from the board. A licensed optometrist may administer only the following injections: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762.5(1)</w:t>
      </w:r>
      <w:r>
        <w:rPr>
          <w:rFonts w:ascii="Times New Roman" w:hAnsi="Times New Roman"/>
          <w:b w:val="false"/>
          <w:i w:val="false"/>
          <w:color w:val="000000"/>
          <w:sz w:val="22"/>
        </w:rPr>
        <w:t> </w:t>
      </w:r>
      <w:r>
        <w:rPr>
          <w:rFonts w:ascii="Times New Roman" w:hAnsi="Times New Roman"/>
          <w:b w:val="false"/>
          <w:i w:val="false"/>
          <w:color w:val="000000"/>
          <w:sz w:val="22"/>
        </w:rPr>
        <w:t>Subconjunctival injections for the medical treatment of the 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762.5(2)</w:t>
      </w:r>
      <w:r>
        <w:rPr>
          <w:rFonts w:ascii="Times New Roman" w:hAnsi="Times New Roman"/>
          <w:b w:val="false"/>
          <w:i w:val="false"/>
          <w:color w:val="000000"/>
          <w:sz w:val="22"/>
        </w:rPr>
        <w:t> </w:t>
      </w:r>
      <w:r>
        <w:rPr>
          <w:rFonts w:ascii="Times New Roman" w:hAnsi="Times New Roman"/>
          <w:b w:val="false"/>
          <w:i w:val="false"/>
          <w:color w:val="000000"/>
          <w:sz w:val="22"/>
        </w:rPr>
        <w:t>Intralesional injections for the treatment of chalazia.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762.5(3)</w:t>
      </w:r>
      <w:r>
        <w:rPr>
          <w:rFonts w:ascii="Times New Roman" w:hAnsi="Times New Roman"/>
          <w:b w:val="false"/>
          <w:i w:val="false"/>
          <w:color w:val="000000"/>
          <w:sz w:val="22"/>
        </w:rPr>
        <w:t> </w:t>
      </w:r>
      <w:r>
        <w:rPr>
          <w:rFonts w:ascii="Times New Roman" w:hAnsi="Times New Roman"/>
          <w:b w:val="false"/>
          <w:i w:val="false"/>
          <w:color w:val="000000"/>
          <w:sz w:val="22"/>
        </w:rPr>
        <w:t>Botulinum toxin to the muscles of facial expression innervated by the facial nerve, including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762.5(4)</w:t>
      </w:r>
      <w:r>
        <w:rPr>
          <w:rFonts w:ascii="Times New Roman" w:hAnsi="Times New Roman"/>
          <w:b w:val="false"/>
          <w:i w:val="false"/>
          <w:color w:val="000000"/>
          <w:sz w:val="22"/>
        </w:rPr>
        <w:t> </w:t>
      </w:r>
      <w:r>
        <w:rPr>
          <w:rFonts w:ascii="Times New Roman" w:hAnsi="Times New Roman"/>
          <w:b w:val="false"/>
          <w:i w:val="false"/>
          <w:color w:val="000000"/>
          <w:sz w:val="22"/>
        </w:rPr>
        <w:t>Injections to counteract an anaphylactic reaction.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762.5(5)</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anesthetics prior to a minor surgical procedure authorized by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481—762.6</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762.6(1)</w:t>
      </w:r>
      <w:r>
        <w:rPr>
          <w:rFonts w:ascii="Times New Roman" w:hAnsi="Times New Roman"/>
          <w:b w:val="false"/>
          <w:i w:val="false"/>
          <w:color w:val="000000"/>
          <w:sz w:val="22"/>
        </w:rPr>
        <w:t> </w:t>
      </w:r>
      <w:r>
        <w:rPr>
          <w:rFonts w:ascii="Times New Roman" w:hAnsi="Times New Roman"/>
          <w:b w:val="false"/>
          <w:i w:val="false"/>
          <w:color w:val="000000"/>
          <w:sz w:val="22"/>
        </w:rPr>
        <w:t>The board will not approve the use of injections other than to counteract an anaphylactic reaction unless the licensed optometrist demonstrates to the board sufficient educational or clinical training from a college or university accredited by a regional or professional accreditation organization that is recognized or approved by the Council for Higher Education Accreditation or by the United States Department of Education, or clinical training equivalent to clinical training offered by such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optometrist who completes the requirements of rule </w:t>
      </w:r>
      <w:hyperlink r:id="rId12">
        <w:r>
          <w:rPr>
            <w:rStyle w:val="Hyperlink"/>
            <w:rFonts w:ascii="Times New Roman" w:hAnsi="Times New Roman"/>
            <w:b w:val="false"/>
            <w:i w:val="false"/>
            <w:color w:val="000000"/>
            <w:sz w:val="22"/>
          </w:rPr>
          <w:t>481—762.7</w:t>
        </w:r>
      </w:hyperlink>
      <w:r>
        <w:rPr>
          <w:rFonts w:ascii="Times New Roman" w:hAnsi="Times New Roman"/>
          <w:b w:val="false"/>
          <w:i w:val="false"/>
          <w:color w:val="000000"/>
          <w:sz w:val="22"/>
        </w:rPr>
        <w:t>(154) is deemed approved by the board for use of injectables as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481—762.7</w:t>
      </w:r>
      <w:r>
        <w:rPr>
          <w:rFonts w:ascii="Times New Roman" w:hAnsi="Times New Roman"/>
          <w:b/>
          <w:i w:val="false"/>
          <w:color w:val="000000"/>
          <w:sz w:val="22"/>
        </w:rPr>
        <w:t xml:space="preserve">(154) </w:t>
      </w:r>
      <w:r>
        <w:rPr>
          <w:rFonts w:ascii="Times New Roman" w:hAnsi="Times New Roman"/>
          <w:b/>
          <w:i w:val="false"/>
          <w:color w:val="000000"/>
          <w:sz w:val="22"/>
        </w:rPr>
        <w:t xml:space="preserve">Education and training. </w:t>
      </w:r>
      <w:r>
        <w:rPr>
          <w:rFonts w:ascii="Times New Roman" w:hAnsi="Times New Roman"/>
          <w:b w:val="false"/>
          <w:i w:val="false"/>
          <w:color w:val="000000"/>
          <w:sz w:val="22"/>
        </w:rPr>
        <w:t>In order to use injections, a licensed optometrist will be able to show proof of completion of the following requirements for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762.7(1)</w:t>
      </w:r>
      <w:r>
        <w:rPr>
          <w:rFonts w:ascii="Times New Roman" w:hAnsi="Times New Roman"/>
          <w:b w:val="false"/>
          <w:i w:val="false"/>
          <w:color w:val="000000"/>
          <w:sz w:val="22"/>
        </w:rPr>
        <w:t> </w:t>
      </w:r>
      <w:r>
        <w:rPr>
          <w:rFonts w:ascii="Times New Roman" w:hAnsi="Times New Roman"/>
          <w:b w:val="false"/>
          <w:i w:val="false"/>
          <w:color w:val="000000"/>
          <w:sz w:val="22"/>
        </w:rPr>
        <w:t>Be fully licensed and in good standing within the state of Iowa as a licensed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762.7(2)</w:t>
      </w:r>
      <w:r>
        <w:rPr>
          <w:rFonts w:ascii="Times New Roman" w:hAnsi="Times New Roman"/>
          <w:b w:val="false"/>
          <w:i w:val="false"/>
          <w:color w:val="000000"/>
          <w:sz w:val="22"/>
        </w:rPr>
        <w:t> </w:t>
      </w:r>
      <w:r>
        <w:rPr>
          <w:rFonts w:ascii="Times New Roman" w:hAnsi="Times New Roman"/>
          <w:b w:val="false"/>
          <w:i w:val="false"/>
          <w:color w:val="000000"/>
          <w:sz w:val="22"/>
        </w:rPr>
        <w:t>Have completed a total of 24 hours of approved educational training pertaining to injections.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4 hours of the 24 hours must be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5 hours of the 24 hours must pertain to the administration and side effects of injection treatment for botulinum toxin and chalazia.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5160C</w:t>
      </w:r>
      <w:r>
        <w:rPr>
          <w:rFonts w:ascii="Times New Roman" w:hAnsi="Times New Roman"/>
          <w:b w:val="false"/>
          <w:i w:val="false"/>
          <w:color w:val="000000"/>
          <w:sz w:val="21"/>
        </w:rPr>
        <w:t xml:space="preserve"> (Notice ARC 5003C,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5672C</w:t>
      </w:r>
      <w:r>
        <w:rPr>
          <w:rFonts w:ascii="Times New Roman" w:hAnsi="Times New Roman"/>
          <w:b w:val="false"/>
          <w:i w:val="false"/>
          <w:color w:val="000000"/>
          <w:sz w:val="21"/>
        </w:rPr>
        <w:t xml:space="preserve"> (Notice ARC 5383C, IAB 1/13/21)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7976C</w:t>
      </w:r>
      <w:r>
        <w:rPr>
          <w:rFonts w:ascii="Times New Roman" w:hAnsi="Times New Roman"/>
          <w:b w:val="false"/>
          <w:i w:val="false"/>
          <w:color w:val="000000"/>
          <w:sz w:val="21"/>
        </w:rPr>
        <w:t xml:space="preserve"> (Notice ARC 7474C,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54.pdf" Type="http://schemas.openxmlformats.org/officeDocument/2006/relationships/hyperlink" Id="rId6"/>
    <Relationship TargetMode="External" Target="https://www.legis.iowa.gov/docs/ico/chapter/155A.pdf" Type="http://schemas.openxmlformats.org/officeDocument/2006/relationships/hyperlink" Id="rId7"/>
    <Relationship TargetMode="External" Target="https://www.legis.iowa.gov/docs/ico/chapter/147.109.pdf" Type="http://schemas.openxmlformats.org/officeDocument/2006/relationships/hyperlink" Id="rId8"/>
    <Relationship TargetMode="External" Target="https://www.legis.iowa.gov/docs/ico/chapter/124.pdf" Type="http://schemas.openxmlformats.org/officeDocument/2006/relationships/hyperlink" Id="rId9"/>
    <Relationship TargetMode="External" Target="https://www.legis.iowa.gov/docs/ico/chapter/124.308.pdf" Type="http://schemas.openxmlformats.org/officeDocument/2006/relationships/hyperlink" Id="rId10"/>
    <Relationship TargetMode="External" Target="https://www.legis.iowa.gov/docs/ico/chapter/155A.27.pdf" Type="http://schemas.openxmlformats.org/officeDocument/2006/relationships/hyperlink" Id="rId11"/>
    <Relationship TargetMode="External" Target="https://www.legis.iowa.gov/docs/iac/rule/481.762.7.pdf" Type="http://schemas.openxmlformats.org/officeDocument/2006/relationships/hyperlink" Id="rId12"/>
    <Relationship TargetMode="External" Target="https://www.legis.iowa.gov/docs/ico/chapter/154.pdf" Type="http://schemas.openxmlformats.org/officeDocument/2006/relationships/hyperlink" Id="rId13"/>
    <Relationship TargetMode="External" Target="https://www.legis.iowa.gov/docs/ico/chapter/155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