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761</w:t>
      </w:r>
    </w:p>
    <w:p>
      <w:pPr>
        <w:spacing w:before="0" w:after="0"/>
        <w:ind w:left="120"/>
        <w:jc w:val="center"/>
      </w:pPr>
      <w:r>
        <w:rPr>
          <w:rFonts w:ascii="Times New Roman" w:hAnsi="Times New Roman"/>
          <w:b w:val="false"/>
          <w:i w:val="false"/>
          <w:color w:val="000000"/>
          <w:sz w:val="21"/>
        </w:rPr>
        <w:t>CONTINUING EDUCATION FOR OPTOMETRISTS</w:t>
      </w:r>
    </w:p>
    <w:p>
      <w:pPr>
        <w:spacing w:before="0" w:after="0"/>
        <w:ind w:left="120"/>
        <w:jc w:val="center"/>
      </w:pPr>
      <w:r>
        <w:rPr>
          <w:rFonts w:ascii="Times New Roman" w:hAnsi="Times New Roman"/>
          <w:b w:val="false"/>
          <w:i w:val="false"/>
          <w:color w:val="000000"/>
          <w:sz w:val="14"/>
        </w:rPr>
        <w:t>[Prior to 9/18/24, see Professional Licensure Division[645] Ch 181]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481—761.1</w:t>
      </w:r>
      <w:r>
        <w:rPr>
          <w:rFonts w:ascii="Times New Roman" w:hAnsi="Times New Roman"/>
          <w:b/>
          <w:i w:val="false"/>
          <w:color w:val="000000"/>
          <w:sz w:val="22"/>
        </w:rPr>
        <w:t xml:space="preserve">(154)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optometry.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“CELMO” </w:t>
      </w:r>
      <w:r>
        <w:rPr>
          <w:rFonts w:ascii="Times New Roman" w:hAnsi="Times New Roman"/>
          <w:b w:val="false"/>
          <w:i w:val="false"/>
          <w:color w:val="000000"/>
          <w:sz w:val="22"/>
        </w:rPr>
        <w:t>means the Council on Endorsed Licensure Mobility for Optometrists.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“Distance learning” </w:t>
      </w:r>
      <w:r>
        <w:rPr>
          <w:rFonts w:ascii="Times New Roman" w:hAnsi="Times New Roman"/>
          <w:b w:val="false"/>
          <w:i w:val="false"/>
          <w:color w:val="000000"/>
          <w:sz w:val="22"/>
        </w:rPr>
        <w:t>means a format that provides one-way content to the licensee without immediate interaction with the instructor, including but not limited to correspondence courses, online courses and local study group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“Interactive online CE” </w:t>
      </w:r>
      <w:r>
        <w:rPr>
          <w:rFonts w:ascii="Times New Roman" w:hAnsi="Times New Roman"/>
          <w:b w:val="false"/>
          <w:i w:val="false"/>
          <w:color w:val="000000"/>
          <w:sz w:val="22"/>
        </w:rPr>
        <w:t>means the format allows for immediate interaction and feedback between the audience and the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an optometrist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481—761.2</w:t>
      </w:r>
      <w:r>
        <w:rPr>
          <w:rFonts w:ascii="Times New Roman" w:hAnsi="Times New Roman"/>
          <w:b/>
          <w:i w:val="false"/>
          <w:color w:val="000000"/>
          <w:sz w:val="22"/>
        </w:rPr>
        <w:t xml:space="preserve">(154)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continuing education compliance period will extend for a two-year period beginning on July 1 and ending on June 30 of each even-numbered year. Each biennium, each person who is licensed to practice as an optometrist in this state will be required to complete a minimum of 50 hours of continuing education that meets the standards in this chapter. Licensees who complete continuing education hours in excess of the requirements for renewal may apply up to 50 percent of the required hours to the following renewal period in compliance with Iowa Code section </w:t>
      </w:r>
      <w:hyperlink r:id="rId5">
        <w:r>
          <w:rPr>
            <w:rStyle w:val="Hyperlink"/>
            <w:rFonts w:ascii="Times New Roman" w:hAnsi="Times New Roman"/>
            <w:b w:val="false"/>
            <w:i w:val="false"/>
            <w:color w:val="000000"/>
            <w:sz w:val="22"/>
          </w:rPr>
          <w:t>272C.2(2)</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of new licensees. Those persons licensed for the first time shall not be required to complete continuing education as a prerequisite for the first renewal of their licenses. Continuing education hours acquired anytime from the initial licensing until the second license renewal may be used.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continuing education credit may be obtained by attending and participating in a continuing education activity.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761.2(4)</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9283C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481—761.3</w:t>
      </w:r>
      <w:r>
        <w:rPr>
          <w:rFonts w:ascii="Times New Roman" w:hAnsi="Times New Roman"/>
          <w:b/>
          <w:i w:val="false"/>
          <w:color w:val="000000"/>
          <w:sz w:val="22"/>
        </w:rPr>
        <w:t xml:space="preserve">(154,272C)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an organized program of learning fundamental to the practice of the profession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and training in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Numbers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may be obtained by attending: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continuing education programs of the Iowa Optometric Association, the American Optometric Association, the American Academy of Optometry, and national regional optometric congresses, schools of optometry, all state optometric associations, and any accredited department of ophthalmology.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Postgraduate study through an accredited school or college of optometry.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Meetings or seminars that are approved and certified for optometric continuing education by the Association of Regulatory Boards of Optometry’s Council on Optometric Practitioner Education (COPE)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number of hours in each category in each biennium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Five hours of credit for distance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Fifteen hours of credit for interactive online 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Twenty hours of credit for postgraduate study courses as referenced in subparagraph </w:t>
      </w:r>
      <w:r>
        <w:rPr>
          <w:rFonts w:ascii="Times New Roman" w:hAnsi="Times New Roman"/>
          <w:b w:val="false"/>
          <w:i w:val="false"/>
          <w:color w:val="000000"/>
          <w:sz w:val="22"/>
        </w:rPr>
        <w:t>761.3(2)</w:t>
      </w:r>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Required continuing education hours. Licensees shall provide proof of continuing education in all of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in CPR offered in person by the American Heart Association, the American Red Cross or an equivalent organization. At least two hours per biennium is required, but credit will be granted for four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on child abuse and dependent adult abuse identification and reporting through the department of health and human services for all licensees who examine, attend, counsel or treat children or dependent adults in the scope of the professional practice. Initial two-hour courses need to be taken with six months of employment. One-hour recertification training needs to be done every three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minimum of one hour of continuing education per renewal period regarding guidelines for prescribing opioids, including recommendations on limitations on dosages and the length of prescriptions, risk factors for abuse, and nonopioid and nonpharmacologic therapy options. Credit will be granted for up to two hours per renewal period. If the continuing education did not cover the United States Centers for Disease Control and Prevention guideline for prescribing opioids for chronic pain, the licensee shall read the guideline prior to license renewal. “Opioid” means any drug that produces an agonist effect on opioid receptors and is indicated or used for the 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CELMO certification meets the continuing education requirements for licensees.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5/12/00, Notice 4/5/00—published 5/31/00, effective 7/5/00]</w:t>
      </w:r>
    </w:p>
    <w:p>
      <w:pPr>
        <w:spacing w:before="0" w:after="0"/>
        <w:ind w:left="120"/>
        <w:jc w:val="center"/>
      </w:pPr>
      <w:r>
        <w:rPr>
          <w:rFonts w:ascii="Times New Roman" w:hAnsi="Times New Roman"/>
          <w:b w:val="false"/>
          <w:i w:val="false"/>
          <w:color w:val="000000"/>
          <w:sz w:val="21"/>
        </w:rPr>
        <w:t>[Filed 5/25/01, Notice 4/4/01—published 6/13/01, effective 7/18/01]</w:t>
      </w:r>
    </w:p>
    <w:p>
      <w:pPr>
        <w:spacing w:before="0" w:after="0"/>
        <w:ind w:left="120"/>
        <w:jc w:val="center"/>
      </w:pPr>
      <w:r>
        <w:rPr>
          <w:rFonts w:ascii="Times New Roman" w:hAnsi="Times New Roman"/>
          <w:b w:val="false"/>
          <w:i w:val="false"/>
          <w:color w:val="000000"/>
          <w:sz w:val="21"/>
        </w:rPr>
        <w:t>[Filed 7/18/02, Notice 5/15/02—published 8/7/02, effective 9/11/02]</w:t>
      </w:r>
    </w:p>
    <w:p>
      <w:pPr>
        <w:spacing w:before="0" w:after="0"/>
        <w:ind w:left="120"/>
        <w:jc w:val="center"/>
      </w:pPr>
      <w:r>
        <w:rPr>
          <w:rFonts w:ascii="Times New Roman" w:hAnsi="Times New Roman"/>
          <w:b w:val="false"/>
          <w:i w:val="false"/>
          <w:color w:val="000000"/>
          <w:sz w:val="21"/>
        </w:rPr>
        <w:t>[Filed 7/8/05, Notice 5/11/05—published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1/13/06, Notice 10/26/05—published 2/1/06, effective 3/8/06]</w:t>
      </w:r>
    </w:p>
    <w:p>
      <w:pPr>
        <w:spacing w:before="0" w:after="0"/>
        <w:ind w:left="120"/>
        <w:jc w:val="center"/>
      </w:pPr>
      <w:r>
        <w:rPr>
          <w:rFonts w:ascii="Times New Roman" w:hAnsi="Times New Roman"/>
          <w:b w:val="false"/>
          <w:i w:val="false"/>
          <w:color w:val="000000"/>
          <w:sz w:val="21"/>
        </w:rPr>
        <w:t>[Filed 4/19/06, Notice 3/15/06—published 5/10/06, effective 6/14/06]</w:t>
      </w:r>
    </w:p>
    <w:p>
      <w:pPr>
        <w:spacing w:before="0" w:after="0"/>
        <w:ind w:left="120"/>
        <w:jc w:val="center"/>
      </w:pPr>
      <w:r>
        <w:rPr>
          <w:rFonts w:ascii="Times New Roman" w:hAnsi="Times New Roman"/>
          <w:b w:val="false"/>
          <w:i w:val="false"/>
          <w:color w:val="000000"/>
          <w:sz w:val="21"/>
        </w:rPr>
        <w:t>[Filed 1/12/07, Notice 11/8/06—published 1/31/07, effective 3/7/07]</w:t>
      </w:r>
    </w:p>
    <w:p>
      <w:pPr>
        <w:spacing w:before="0" w:after="0"/>
        <w:ind w:left="120"/>
        <w:jc w:val="center"/>
      </w:pPr>
      <w:r>
        <w:rPr>
          <w:rFonts w:ascii="Times New Roman" w:hAnsi="Times New Roman"/>
          <w:b w:val="false"/>
          <w:i w:val="false"/>
          <w:color w:val="000000"/>
          <w:sz w:val="21"/>
        </w:rPr>
        <w:t>[Filed 4/19/07, Notice 3/14/07—published 5/9/07, effective 6/13/07]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8023B</w:t>
      </w:r>
      <w:r>
        <w:rPr>
          <w:rFonts w:ascii="Times New Roman" w:hAnsi="Times New Roman"/>
          <w:b w:val="false"/>
          <w:i w:val="false"/>
          <w:color w:val="000000"/>
          <w:sz w:val="21"/>
        </w:rPr>
        <w:t xml:space="preserve"> (Notice ARC 7762B, IAB 5/6/09)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9641B</w:t>
      </w:r>
      <w:r>
        <w:rPr>
          <w:rFonts w:ascii="Times New Roman" w:hAnsi="Times New Roman"/>
          <w:b w:val="false"/>
          <w:i w:val="false"/>
          <w:color w:val="000000"/>
          <w:sz w:val="21"/>
        </w:rPr>
        <w:t xml:space="preserve"> (Notice ARC 9519B, IAB 5/18/11)</w:t>
      </w:r>
      <w:r>
        <w:rPr>
          <w:rFonts w:ascii="Times New Roman" w:hAnsi="Times New Roman"/>
          <w:b w:val="false"/>
          <w:i w:val="false"/>
          <w:color w:val="000000"/>
          <w:sz w:val="21"/>
        </w:rPr>
        <w:t>, IAB 7/27/11, effective 8/31/11]</w:t>
      </w:r>
    </w:p>
    <w:p>
      <w:pPr>
        <w:spacing w:before="0" w:after="0"/>
        <w:ind w:left="120"/>
        <w:jc w:val="center"/>
      </w:pPr>
      <w:r>
        <w:rPr>
          <w:rFonts w:ascii="Times New Roman" w:hAnsi="Times New Roman"/>
          <w:b w:val="false"/>
          <w:i w:val="false"/>
          <w:color w:val="000000"/>
          <w:sz w:val="21"/>
        </w:rPr>
        <w:t>[Filed ARC 0899C</w:t>
      </w:r>
      <w:r>
        <w:rPr>
          <w:rFonts w:ascii="Times New Roman" w:hAnsi="Times New Roman"/>
          <w:b w:val="false"/>
          <w:i w:val="false"/>
          <w:color w:val="000000"/>
          <w:sz w:val="21"/>
        </w:rPr>
        <w:t xml:space="preserve"> (Notice ARC 0680C, IAB 4/3/13)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4951C</w:t>
      </w:r>
      <w:r>
        <w:rPr>
          <w:rFonts w:ascii="Times New Roman" w:hAnsi="Times New Roman"/>
          <w:b w:val="false"/>
          <w:i w:val="false"/>
          <w:color w:val="000000"/>
          <w:sz w:val="21"/>
        </w:rPr>
        <w:t xml:space="preserve"> (Notice ARC 4668C, IAB 9/25/19)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5071C</w:t>
      </w:r>
      <w:r>
        <w:rPr>
          <w:rFonts w:ascii="Times New Roman" w:hAnsi="Times New Roman"/>
          <w:b w:val="false"/>
          <w:i w:val="false"/>
          <w:color w:val="000000"/>
          <w:sz w:val="21"/>
        </w:rPr>
        <w:t xml:space="preserve"> (Notice ARC 4854C, IAB 1/15/20)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7975C</w:t>
      </w:r>
      <w:r>
        <w:rPr>
          <w:rFonts w:ascii="Times New Roman" w:hAnsi="Times New Roman"/>
          <w:b w:val="false"/>
          <w:i w:val="false"/>
          <w:color w:val="000000"/>
          <w:sz w:val="21"/>
        </w:rPr>
        <w:t xml:space="preserve"> (Notice ARC 7473C,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9283C</w:t>
      </w:r>
      <w:r>
        <w:rPr>
          <w:rFonts w:ascii="Times New Roman" w:hAnsi="Times New Roman"/>
          <w:b w:val="false"/>
          <w:i w:val="false"/>
          <w:color w:val="000000"/>
          <w:sz w:val="21"/>
        </w:rPr>
        <w:t xml:space="preserve"> (Notice ARC 8951C, IAB 2/19/25)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2.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54.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