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OPTOMETRY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760</w:t>
      </w:r>
    </w:p>
    <w:p>
      <w:pPr>
        <w:spacing w:before="0" w:after="0"/>
        <w:ind w:left="120"/>
        <w:jc w:val="center"/>
      </w:pPr>
      <w:r>
        <w:rPr>
          <w:rFonts w:ascii="Times New Roman" w:hAnsi="Times New Roman"/>
          <w:b w:val="false"/>
          <w:i w:val="false"/>
          <w:color w:val="000000"/>
          <w:sz w:val="21"/>
        </w:rPr>
        <w:t>LICENSURE OF OPTOMETRISTS</w:t>
      </w:r>
    </w:p>
    <w:p>
      <w:pPr>
        <w:spacing w:before="0" w:after="0"/>
        <w:ind w:left="120"/>
        <w:jc w:val="center"/>
      </w:pPr>
      <w:r>
        <w:rPr>
          <w:rFonts w:ascii="Times New Roman" w:hAnsi="Times New Roman"/>
          <w:b w:val="false"/>
          <w:i w:val="false"/>
          <w:color w:val="000000"/>
          <w:sz w:val="14"/>
        </w:rPr>
        <w:t>[Prior to 6/13/01, see 645—Chapter 180]</w:t>
      </w:r>
    </w:p>
    <w:p>
      <w:pPr>
        <w:spacing w:before="0" w:after="0"/>
        <w:ind w:left="120"/>
        <w:jc w:val="center"/>
      </w:pPr>
      <w:r>
        <w:rPr>
          <w:rFonts w:ascii="Times New Roman" w:hAnsi="Times New Roman"/>
          <w:b w:val="false"/>
          <w:i w:val="false"/>
          <w:color w:val="000000"/>
          <w:sz w:val="14"/>
        </w:rPr>
        <w:t>[Prior to 9/18/24, see Professional Licensure Division[645] Ch 180]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481—760.1</w:t>
      </w:r>
      <w:r>
        <w:rPr>
          <w:rFonts w:ascii="Times New Roman" w:hAnsi="Times New Roman"/>
          <w:b/>
          <w:i w:val="false"/>
          <w:color w:val="000000"/>
          <w:sz w:val="22"/>
        </w:rPr>
        <w:t xml:space="preserve">(154)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“CELMO” </w:t>
      </w:r>
      <w:r>
        <w:rPr>
          <w:rFonts w:ascii="Times New Roman" w:hAnsi="Times New Roman"/>
          <w:b w:val="false"/>
          <w:i w:val="false"/>
          <w:color w:val="000000"/>
          <w:sz w:val="22"/>
        </w:rPr>
        <w:t>means the Council on Endorsed Licensure Mobility for Optometrists.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optometrist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optometry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training” </w:t>
      </w:r>
      <w:r>
        <w:rPr>
          <w:rFonts w:ascii="Times New Roman" w:hAnsi="Times New Roman"/>
          <w:b w:val="false"/>
          <w:i w:val="false"/>
          <w:color w:val="000000"/>
          <w:sz w:val="22"/>
        </w:rPr>
        <w:t xml:space="preserve">means training on identifying and reporting child abuse or dependent adult abuse required of optometrists who are mandatory reporters. The full requirements on mandatory reporting of child abuse and the training requirements are found in Iowa Code section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“NBEO” </w:t>
      </w:r>
      <w:r>
        <w:rPr>
          <w:rFonts w:ascii="Times New Roman" w:hAnsi="Times New Roman"/>
          <w:b w:val="false"/>
          <w:i w:val="false"/>
          <w:color w:val="000000"/>
          <w:sz w:val="22"/>
        </w:rPr>
        <w:t>means the National Board of Examiners in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“Optometrist” </w:t>
      </w:r>
      <w:r>
        <w:rPr>
          <w:rFonts w:ascii="Times New Roman" w:hAnsi="Times New Roman"/>
          <w:b w:val="false"/>
          <w:i w:val="false"/>
          <w:color w:val="000000"/>
          <w:sz w:val="22"/>
        </w:rPr>
        <w:t xml:space="preserve">means an optometrist who is licensed to practice optometry in Iowa and who is certified by the board of optometry to employ all diagnostic and therapeutic pharmaceutical agents for the purpose of diagnosis and treatment of the conditions of the human eye and adnexa, excluding the use of injections other than to counteract an anaphylactic reaction, and notwithstanding Iowa Code section </w:t>
      </w:r>
      <w:hyperlink r:id="rId7">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may without charge supply any of the above pharmaceuticals to commence a course of therapy, with the exclusions cited in Iowa Code chapter </w:t>
      </w:r>
      <w:hyperlink r:id="rId8">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481—760.5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10">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“TPA” </w:t>
      </w:r>
      <w:r>
        <w:rPr>
          <w:rFonts w:ascii="Times New Roman" w:hAnsi="Times New Roman"/>
          <w:b w:val="false"/>
          <w:i w:val="false"/>
          <w:color w:val="000000"/>
          <w:sz w:val="22"/>
        </w:rPr>
        <w:t>means therapeutic pharmaceutical agents.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481—760.2</w:t>
      </w:r>
      <w:r>
        <w:rPr>
          <w:rFonts w:ascii="Times New Roman" w:hAnsi="Times New Roman"/>
          <w:b/>
          <w:i w:val="false"/>
          <w:color w:val="000000"/>
          <w:sz w:val="22"/>
        </w:rPr>
        <w:t xml:space="preserve">(154)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applies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and pay the non-refundable licensure fee specified in rule </w:t>
      </w:r>
      <w:hyperlink r:id="rId11">
        <w:r>
          <w:rPr>
            <w:rStyle w:val="Hyperlink"/>
            <w:rFonts w:ascii="Times New Roman" w:hAnsi="Times New Roman"/>
            <w:b w:val="false"/>
            <w:i w:val="false"/>
            <w:color w:val="000000"/>
            <w:sz w:val="22"/>
          </w:rPr>
          <w:t>481—507.12</w:t>
        </w:r>
      </w:hyperlink>
      <w:r>
        <w:rPr>
          <w:rFonts w:ascii="Times New Roman" w:hAnsi="Times New Roman"/>
          <w:b w:val="false"/>
          <w:i w:val="false"/>
          <w:color w:val="000000"/>
          <w:sz w:val="22"/>
        </w:rPr>
        <w:t>(147,154).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will submit proof of satisfactory completion of all educational requirements contained in Iowa Code chapter </w:t>
      </w:r>
      <w:hyperlink r:id="rId12">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including official copies of academic transcripts sent directly to the board from an accredited school or college of optometry.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will submit proof of passing all current NBEO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481—760.3</w:t>
      </w:r>
      <w:r>
        <w:rPr>
          <w:rFonts w:ascii="Times New Roman" w:hAnsi="Times New Roman"/>
          <w:b/>
          <w:i w:val="false"/>
          <w:color w:val="000000"/>
          <w:sz w:val="22"/>
        </w:rPr>
        <w:t xml:space="preserve">(154)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760.3(1)</w:t>
      </w:r>
      <w:r>
        <w:rPr>
          <w:rFonts w:ascii="Times New Roman" w:hAnsi="Times New Roman"/>
          <w:b w:val="false"/>
          <w:i w:val="false"/>
          <w:color w:val="000000"/>
          <w:sz w:val="22"/>
        </w:rPr>
        <w:t> </w:t>
      </w:r>
      <w:r>
        <w:rPr>
          <w:rFonts w:ascii="Times New Roman" w:hAnsi="Times New Roman"/>
          <w:b w:val="false"/>
          <w:i w:val="false"/>
          <w:color w:val="000000"/>
          <w:sz w:val="22"/>
        </w:rPr>
        <w:t>Applicants who have been licensed as an optometrist in another state may apply for licensure by endorsement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the applicant meets the requirements of rule </w:t>
      </w:r>
      <w:hyperlink r:id="rId13">
        <w:r>
          <w:rPr>
            <w:rStyle w:val="Hyperlink"/>
            <w:rFonts w:ascii="Times New Roman" w:hAnsi="Times New Roman"/>
            <w:b w:val="false"/>
            <w:i w:val="false"/>
            <w:color w:val="000000"/>
            <w:sz w:val="22"/>
          </w:rPr>
          <w:t>481—760.2</w:t>
        </w:r>
      </w:hyperlink>
      <w:r>
        <w:rPr>
          <w:rFonts w:ascii="Times New Roman" w:hAnsi="Times New Roman"/>
          <w:b w:val="false"/>
          <w:i w:val="false"/>
          <w:color w:val="000000"/>
          <w:sz w:val="22"/>
        </w:rPr>
        <w:t>(154);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competence to practice as an optometrist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CELMO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as an optometrist for a minimum of 2,080 hours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Employment as a faculty member teaching optometry in an accredited school of optometry for at least one academic year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Completion of a minimum of 50 hours of continuing education during the preceding two-year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Passing the NBEO examination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760.3(2)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4">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481—760.4</w:t>
      </w:r>
      <w:r>
        <w:rPr>
          <w:rFonts w:ascii="Times New Roman" w:hAnsi="Times New Roman"/>
          <w:b/>
          <w:i w:val="false"/>
          <w:color w:val="000000"/>
          <w:sz w:val="22"/>
        </w:rPr>
        <w:t xml:space="preserve">(154)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optometry will begin on July 1 of an even-numbered year and end on June 30 two years later. The licensee is responsible for renewing the license prior to its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does not need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5">
        <w:r>
          <w:rPr>
            <w:rStyle w:val="Hyperlink"/>
            <w:rFonts w:ascii="Times New Roman" w:hAnsi="Times New Roman"/>
            <w:b w:val="false"/>
            <w:i w:val="false"/>
            <w:color w:val="000000"/>
            <w:sz w:val="22"/>
          </w:rPr>
          <w:t>481—761.2</w:t>
        </w:r>
      </w:hyperlink>
      <w:r>
        <w:rPr>
          <w:rFonts w:ascii="Times New Roman" w:hAnsi="Times New Roman"/>
          <w:b w:val="false"/>
          <w:i w:val="false"/>
          <w:color w:val="000000"/>
          <w:sz w:val="22"/>
        </w:rPr>
        <w:t xml:space="preserve">(154) and the mandatory reporting requirements of </w:t>
      </w:r>
      <w:hyperlink r:id="rId16">
        <w:r>
          <w:rPr>
            <w:rStyle w:val="Hyperlink"/>
            <w:rFonts w:ascii="Times New Roman" w:hAnsi="Times New Roman"/>
            <w:b w:val="false"/>
            <w:i w:val="false"/>
            <w:color w:val="000000"/>
            <w:sz w:val="22"/>
          </w:rPr>
          <w:t>subrule 760.5(4)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examines, attends, counsels, or treats children, dependent adults, or both in the scope of the licensee’s professional practice will complete the applicable department of health and human services training relating to the identification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w:t>
      </w:r>
      <w:hyperlink r:id="rId17">
        <w:r>
          <w:rPr>
            <w:rStyle w:val="Hyperlink"/>
            <w:rFonts w:ascii="Times New Roman" w:hAnsi="Times New Roman"/>
            <w:b w:val="false"/>
            <w:i w:val="false"/>
            <w:color w:val="000000"/>
            <w:sz w:val="22"/>
          </w:rPr>
          <w:t>481—Chapter 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8">
        <w:r>
          <w:rPr>
            <w:rStyle w:val="Hyperlink"/>
            <w:rFonts w:ascii="Times New Roman" w:hAnsi="Times New Roman"/>
            <w:b w:val="false"/>
            <w:i w:val="false"/>
            <w:color w:val="000000"/>
            <w:sz w:val="22"/>
          </w:rPr>
          <w:t>481—subrule 507.12(3)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until the license is reactivated.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481—760.5</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760.5(1)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payment of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760.5(2)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provide verification from the jurisdiction in which the licensee has most recently been licensed showing the licensee’s name, date of initial licensure, current licensure status, and any disciplinary action taken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760.5(3)</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competence to practice as an optometrist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 as an optometrist for a minimum of 2,080 hours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Employment as a faculty member teaching optometry in an accredited school of optometry for at least one academic year during the preceding two-year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a minimum of 50 hours of continuing education during the preceding two-year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Passing the NBEO examination during the preceding two-year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as an optometrist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5/25/01, Notice 4/4/01—published 6/13/01, effective 7/18/01]</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1/15/03, Notice 11/13/02—published 2/5/03, effective 3/12/03]</w:t>
      </w:r>
    </w:p>
    <w:p>
      <w:pPr>
        <w:spacing w:before="0" w:after="0"/>
        <w:ind w:left="120"/>
        <w:jc w:val="center"/>
      </w:pPr>
      <w:r>
        <w:rPr>
          <w:rFonts w:ascii="Times New Roman" w:hAnsi="Times New Roman"/>
          <w:b w:val="false"/>
          <w:i w:val="false"/>
          <w:color w:val="000000"/>
          <w:sz w:val="21"/>
        </w:rPr>
        <w:t>[Filed 4/8/04, Notice 2/4/04—published 4/28/04, effective 6/2/04]</w:t>
      </w:r>
    </w:p>
    <w:p>
      <w:pPr>
        <w:spacing w:before="0" w:after="0"/>
        <w:ind w:left="120"/>
        <w:jc w:val="center"/>
      </w:pPr>
      <w:r>
        <w:rPr>
          <w:rFonts w:ascii="Times New Roman" w:hAnsi="Times New Roman"/>
          <w:b w:val="false"/>
          <w:i w:val="false"/>
          <w:color w:val="000000"/>
          <w:sz w:val="21"/>
        </w:rPr>
        <w:t>[Filed 7/8/05,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1/13/06, Notice 10/26/05—published 2/1/06, effective 3/8/06]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1/12/07, Notice 11/8/06—published 1/31/07, effective 3/7/07]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9641B</w:t>
      </w:r>
      <w:r>
        <w:rPr>
          <w:rFonts w:ascii="Times New Roman" w:hAnsi="Times New Roman"/>
          <w:b w:val="false"/>
          <w:i w:val="false"/>
          <w:color w:val="000000"/>
          <w:sz w:val="21"/>
        </w:rPr>
        <w:t xml:space="preserve"> (Notice ARC 9519B, IAB 5/18/11)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0899C</w:t>
      </w:r>
      <w:r>
        <w:rPr>
          <w:rFonts w:ascii="Times New Roman" w:hAnsi="Times New Roman"/>
          <w:b w:val="false"/>
          <w:i w:val="false"/>
          <w:color w:val="000000"/>
          <w:sz w:val="21"/>
        </w:rPr>
        <w:t xml:space="preserve"> (Notice ARC 0680C, IAB 4/3/13)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3428C</w:t>
      </w:r>
      <w:r>
        <w:rPr>
          <w:rFonts w:ascii="Times New Roman" w:hAnsi="Times New Roman"/>
          <w:b w:val="false"/>
          <w:i w:val="false"/>
          <w:color w:val="000000"/>
          <w:sz w:val="21"/>
        </w:rPr>
        <w:t xml:space="preserve"> (Notice ARC 3223C,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5071C</w:t>
      </w:r>
      <w:r>
        <w:rPr>
          <w:rFonts w:ascii="Times New Roman" w:hAnsi="Times New Roman"/>
          <w:b w:val="false"/>
          <w:i w:val="false"/>
          <w:color w:val="000000"/>
          <w:sz w:val="21"/>
        </w:rPr>
        <w:t xml:space="preserve"> (Notice ARC 4854C, IAB 1/15/20)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5776C</w:t>
      </w:r>
      <w:r>
        <w:rPr>
          <w:rFonts w:ascii="Times New Roman" w:hAnsi="Times New Roman"/>
          <w:b w:val="false"/>
          <w:i w:val="false"/>
          <w:color w:val="000000"/>
          <w:sz w:val="21"/>
        </w:rPr>
        <w:t xml:space="preserve"> (Notice ARC 5458C,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6374C</w:t>
      </w:r>
      <w:r>
        <w:rPr>
          <w:rFonts w:ascii="Times New Roman" w:hAnsi="Times New Roman"/>
          <w:b w:val="false"/>
          <w:i w:val="false"/>
          <w:color w:val="000000"/>
          <w:sz w:val="21"/>
        </w:rPr>
        <w:t xml:space="preserve"> (Notice ARC 6095C, IAB 12/15/21)</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7000C</w:t>
      </w:r>
      <w:r>
        <w:rPr>
          <w:rFonts w:ascii="Times New Roman" w:hAnsi="Times New Roman"/>
          <w:b w:val="false"/>
          <w:i w:val="false"/>
          <w:color w:val="000000"/>
          <w:sz w:val="21"/>
        </w:rPr>
        <w:t xml:space="preserve"> (Notice ARC 6656C,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7974C</w:t>
      </w:r>
      <w:r>
        <w:rPr>
          <w:rFonts w:ascii="Times New Roman" w:hAnsi="Times New Roman"/>
          <w:b w:val="false"/>
          <w:i w:val="false"/>
          <w:color w:val="000000"/>
          <w:sz w:val="21"/>
        </w:rPr>
        <w:t xml:space="preserve"> (Notice ARC 7472C,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5B.16.pdf" Type="http://schemas.openxmlformats.org/officeDocument/2006/relationships/hyperlink" Id="rId6"/>
    <Relationship TargetMode="External" Target="https://www.legis.iowa.gov/docs/ico/chapter/147.107.pdf" Type="http://schemas.openxmlformats.org/officeDocument/2006/relationships/hyperlink" Id="rId7"/>
    <Relationship TargetMode="External" Target="https://www.legis.iowa.gov/docs/ico/chapter/154.pdf" Type="http://schemas.openxmlformats.org/officeDocument/2006/relationships/hyperlink" Id="rId8"/>
    <Relationship TargetMode="External" Target="https://www.legis.iowa.gov/docs/iac/rule/481.760.5.pdf" Type="http://schemas.openxmlformats.org/officeDocument/2006/relationships/hyperlink" Id="rId9"/>
    <Relationship TargetMode="External" Target="https://www.legis.iowa.gov/docs/iac/rule/481.506.31.pdf" Type="http://schemas.openxmlformats.org/officeDocument/2006/relationships/hyperlink" Id="rId10"/>
    <Relationship TargetMode="External" Target="https://www.legis.iowa.gov/docs/iac/rule/481.507.12.pdf" Type="http://schemas.openxmlformats.org/officeDocument/2006/relationships/hyperlink" Id="rId11"/>
    <Relationship TargetMode="External" Target="https://www.legis.iowa.gov/docs/ico/chapter/154.pdf" Type="http://schemas.openxmlformats.org/officeDocument/2006/relationships/hyperlink" Id="rId12"/>
    <Relationship TargetMode="External" Target="https://www.legis.iowa.gov/docs/iac/rule/481.760.2.pdf" Type="http://schemas.openxmlformats.org/officeDocument/2006/relationships/hyperlink" Id="rId13"/>
    <Relationship TargetMode="External" Target="https://www.legis.iowa.gov/docs/iac/rule/481.501.1.pdf" Type="http://schemas.openxmlformats.org/officeDocument/2006/relationships/hyperlink" Id="rId14"/>
    <Relationship TargetMode="External" Target="https://www.legis.iowa.gov/docs/iac/rule/481.761.2.pdf" Type="http://schemas.openxmlformats.org/officeDocument/2006/relationships/hyperlink" Id="rId15"/>
    <Relationship TargetMode="External" Target="https://www.legis.iowa.gov/docs/iac/rule/645.180.5.pdf" Type="http://schemas.openxmlformats.org/officeDocument/2006/relationships/hyperlink" Id="rId16"/>
    <Relationship TargetMode="External" Target="https://www.legis.iowa.gov/docs/iac/chapter/481.761.pdf" Type="http://schemas.openxmlformats.org/officeDocument/2006/relationships/hyperlink" Id="rId17"/>
    <Relationship TargetMode="External" Target="https://www.legis.iowa.gov/docs/iac/rule/481.507.12.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147.pdf" Type="http://schemas.openxmlformats.org/officeDocument/2006/relationships/hyperlink" Id="rId20"/>
    <Relationship TargetMode="External" Target="https://www.legis.iowa.gov/docs/ico/chapter/154.pdf" Type="http://schemas.openxmlformats.org/officeDocument/2006/relationships/hyperlink" Id="rId21"/>
    <Relationship TargetMode="External" Target="https://www.legis.iowa.gov/docs/ico/chapter/272C.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