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741</w:t>
      </w:r>
    </w:p>
    <w:p>
      <w:pPr>
        <w:spacing w:before="0" w:after="0"/>
        <w:ind w:left="120"/>
        <w:jc w:val="center"/>
      </w:pPr>
      <w:r>
        <w:rPr>
          <w:rFonts w:ascii="Times New Roman" w:hAnsi="Times New Roman"/>
          <w:b w:val="false"/>
          <w:i w:val="false"/>
          <w:color w:val="000000"/>
          <w:sz w:val="21"/>
        </w:rPr>
        <w:t>PRACTICE OF SPEECH PATHOLOGISTS AND AUDIOLOGISTS</w:t>
      </w:r>
    </w:p>
    <w:p>
      <w:pPr>
        <w:spacing w:before="0" w:after="0"/>
        <w:ind w:left="120"/>
        <w:jc w:val="center"/>
      </w:pPr>
      <w:r>
        <w:rPr>
          <w:rFonts w:ascii="Times New Roman" w:hAnsi="Times New Roman"/>
          <w:b w:val="false"/>
          <w:i w:val="false"/>
          <w:color w:val="000000"/>
          <w:sz w:val="14"/>
        </w:rPr>
        <w:t>[Prior to 9/18/24, see Professional Licensure Division[645] Ch 301]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481—741.1</w:t>
      </w:r>
      <w:r>
        <w:rPr>
          <w:rFonts w:ascii="Times New Roman" w:hAnsi="Times New Roman"/>
          <w:b/>
          <w:i w:val="false"/>
          <w:color w:val="000000"/>
          <w:sz w:val="22"/>
        </w:rPr>
        <w:t xml:space="preserve">(147) </w:t>
      </w:r>
      <w:r>
        <w:rPr>
          <w:rFonts w:ascii="Times New Roman" w:hAnsi="Times New Roman"/>
          <w:b/>
          <w:i w:val="false"/>
          <w:color w:val="000000"/>
          <w:sz w:val="22"/>
        </w:rPr>
        <w:t xml:space="preserve">Telehealth visits. </w:t>
      </w:r>
      <w:r>
        <w:rPr>
          <w:rFonts w:ascii="Times New Roman" w:hAnsi="Times New Roman"/>
          <w:b w:val="false"/>
          <w:i w:val="false"/>
          <w:color w:val="000000"/>
          <w:sz w:val="22"/>
        </w:rPr>
        <w:t>A licensee may provide speech pathology or audiology services to a patient utilizing a telehealth visit if the services are provided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741.1(1)</w:t>
      </w:r>
      <w:r>
        <w:rPr>
          <w:rFonts w:ascii="Times New Roman" w:hAnsi="Times New Roman"/>
          <w:b w:val="false"/>
          <w:i w:val="false"/>
          <w:color w:val="000000"/>
          <w:sz w:val="22"/>
        </w:rPr>
        <w:t> </w:t>
      </w:r>
      <w:r>
        <w:rPr>
          <w:rFonts w:ascii="Times New Roman" w:hAnsi="Times New Roman"/>
          <w:b w:val="false"/>
          <w:i w:val="false"/>
          <w:color w:val="000000"/>
          <w:sz w:val="22"/>
        </w:rPr>
        <w:t>“Telehealth visit” means the provision of speech pathology or audiology services by a licensee to a patient using technology where the licensee and the patient are not at the same physical location during the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741.1(2)</w:t>
      </w:r>
      <w:r>
        <w:rPr>
          <w:rFonts w:ascii="Times New Roman" w:hAnsi="Times New Roman"/>
          <w:b w:val="false"/>
          <w:i w:val="false"/>
          <w:color w:val="000000"/>
          <w:sz w:val="22"/>
        </w:rPr>
        <w:t> </w:t>
      </w:r>
      <w:r>
        <w:rPr>
          <w:rFonts w:ascii="Times New Roman" w:hAnsi="Times New Roman"/>
          <w:b w:val="false"/>
          <w:i w:val="false"/>
          <w:color w:val="000000"/>
          <w:sz w:val="22"/>
        </w:rPr>
        <w:t>A licensee engaged in a telehealth visit will utilize technology that is secure and HIPAA-compliant (Health Insurance Portability and Accountability Act of 1996, PL 104–191, August 21, 1996, 110 Stat 1936), and that includes, at a minimum, audio and video equipment that allows two-way real-time interactive communication between the licensee and the patient. A licensee may use non-real-time technologies to prepare for an appointment or to communicate with a patient between appointments.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741.1(3)</w:t>
      </w:r>
      <w:r>
        <w:rPr>
          <w:rFonts w:ascii="Times New Roman" w:hAnsi="Times New Roman"/>
          <w:b w:val="false"/>
          <w:i w:val="false"/>
          <w:color w:val="000000"/>
          <w:sz w:val="22"/>
        </w:rPr>
        <w:t> </w:t>
      </w:r>
      <w:r>
        <w:rPr>
          <w:rFonts w:ascii="Times New Roman" w:hAnsi="Times New Roman"/>
          <w:b w:val="false"/>
          <w:i w:val="false"/>
          <w:color w:val="000000"/>
          <w:sz w:val="22"/>
        </w:rPr>
        <w:t>A licensee engaged in a telehealth visit shall be held to the same standard of care as a licensee who provides in-person speech pathology or audiology services. A licensee will not utilize a telehealth visit if the standard of care for the particular speech pathology or audiology service cannot be met using technology.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741.1(4)</w:t>
      </w:r>
      <w:r>
        <w:rPr>
          <w:rFonts w:ascii="Times New Roman" w:hAnsi="Times New Roman"/>
          <w:b w:val="false"/>
          <w:i w:val="false"/>
          <w:color w:val="000000"/>
          <w:sz w:val="22"/>
        </w:rPr>
        <w:t> </w:t>
      </w:r>
      <w:r>
        <w:rPr>
          <w:rFonts w:ascii="Times New Roman" w:hAnsi="Times New Roman"/>
          <w:b w:val="false"/>
          <w:i w:val="false"/>
          <w:color w:val="000000"/>
          <w:sz w:val="22"/>
        </w:rPr>
        <w:t>Prior to the first telehealth visit, a licensee will obtain informed consent from the patient specific to the services that will be provided in a telehealth visit. At a minimum, the informed consent will specifically inform the patient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risks and limitations of the use of technology to provide speech pathology or audiology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potential for unauthorized access to protected health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potential for disruption of technology during a telehealth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741.1(5)</w:t>
      </w:r>
      <w:r>
        <w:rPr>
          <w:rFonts w:ascii="Times New Roman" w:hAnsi="Times New Roman"/>
          <w:b w:val="false"/>
          <w:i w:val="false"/>
          <w:color w:val="000000"/>
          <w:sz w:val="22"/>
        </w:rPr>
        <w:t> </w:t>
      </w:r>
      <w:r>
        <w:rPr>
          <w:rFonts w:ascii="Times New Roman" w:hAnsi="Times New Roman"/>
          <w:b w:val="false"/>
          <w:i w:val="false"/>
          <w:color w:val="000000"/>
          <w:sz w:val="22"/>
        </w:rPr>
        <w:t>A licensee will only provide speech pathology or audiology services using a telehealth visit in the areas of competence wherein proficiency in providing the particular service using technology has been gained through education, training,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741.1(6)</w:t>
      </w:r>
      <w:r>
        <w:rPr>
          <w:rFonts w:ascii="Times New Roman" w:hAnsi="Times New Roman"/>
          <w:b w:val="false"/>
          <w:i w:val="false"/>
          <w:color w:val="000000"/>
          <w:sz w:val="22"/>
        </w:rPr>
        <w:t> </w:t>
      </w:r>
      <w:r>
        <w:rPr>
          <w:rFonts w:ascii="Times New Roman" w:hAnsi="Times New Roman"/>
          <w:b w:val="false"/>
          <w:i w:val="false"/>
          <w:color w:val="000000"/>
          <w:sz w:val="22"/>
        </w:rPr>
        <w:t>A licensee will identify in the clinical record when speech pathology or audiology services are provided utilizing a telehealth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741.1(7)</w:t>
      </w:r>
      <w:r>
        <w:rPr>
          <w:rFonts w:ascii="Times New Roman" w:hAnsi="Times New Roman"/>
          <w:b w:val="false"/>
          <w:i w:val="false"/>
          <w:color w:val="000000"/>
          <w:sz w:val="22"/>
        </w:rPr>
        <w:t> </w:t>
      </w:r>
      <w:r>
        <w:rPr>
          <w:rFonts w:ascii="Times New Roman" w:hAnsi="Times New Roman"/>
          <w:b w:val="false"/>
          <w:i w:val="false"/>
          <w:color w:val="000000"/>
          <w:sz w:val="22"/>
        </w:rPr>
        <w:t>Speech pathology or audiology services in Iowa through telephonic, electronic, or other means constitute the practice of speech pathology or audiology and require Iowa licensure, regardless of the location of the speech/language pathologist or audiologist.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154F</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481—741.2</w:t>
      </w:r>
      <w:r>
        <w:rPr>
          <w:rFonts w:ascii="Times New Roman" w:hAnsi="Times New Roman"/>
          <w:b/>
          <w:i w:val="false"/>
          <w:color w:val="000000"/>
          <w:sz w:val="22"/>
        </w:rPr>
        <w:t xml:space="preserve">(147) </w:t>
      </w:r>
      <w:r>
        <w:rPr>
          <w:rFonts w:ascii="Times New Roman" w:hAnsi="Times New Roman"/>
          <w:b/>
          <w:i w:val="false"/>
          <w:color w:val="000000"/>
          <w:sz w:val="22"/>
        </w:rPr>
        <w:t xml:space="preserve">Hearing aid dispensing. </w:t>
      </w:r>
      <w:r>
        <w:rPr>
          <w:rFonts w:ascii="Times New Roman" w:hAnsi="Times New Roman"/>
          <w:b w:val="false"/>
          <w:i w:val="false"/>
          <w:color w:val="000000"/>
          <w:sz w:val="22"/>
        </w:rPr>
        <w:t>A licensed audiologist may dispense hearing aids without a separate hearing aid specialist license if the services are provided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741.2(1)</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“Dispense”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“sell” </w:t>
      </w:r>
      <w:r>
        <w:rPr>
          <w:rFonts w:ascii="Times New Roman" w:hAnsi="Times New Roman"/>
          <w:b w:val="false"/>
          <w:i w:val="false"/>
          <w:color w:val="000000"/>
          <w:sz w:val="22"/>
        </w:rPr>
        <w:t>means a transfer of title or of the right to use by lease, bailment, or any other means but excludes a wholesale transaction with a distributor or hearing aid specialist and excludes the temporary, charitable loan or educational loan of a hearing aid without remuneration.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“Hearing aid specialist” </w:t>
      </w:r>
      <w:r>
        <w:rPr>
          <w:rFonts w:ascii="Times New Roman" w:hAnsi="Times New Roman"/>
          <w:b w:val="false"/>
          <w:i w:val="false"/>
          <w:color w:val="000000"/>
          <w:sz w:val="22"/>
        </w:rPr>
        <w:t xml:space="preserve">means any person engaged in the fitting, dispensing and sale of hearing aids and providing hearing aid services or maintenance by means of procedures stipulated by Iowa Code chapter </w:t>
      </w:r>
      <w:hyperlink r:id="rId7">
        <w:r>
          <w:rPr>
            <w:rStyle w:val="Hyperlink"/>
            <w:rFonts w:ascii="Times New Roman" w:hAnsi="Times New Roman"/>
            <w:b w:val="false"/>
            <w:i w:val="false"/>
            <w:color w:val="000000"/>
            <w:sz w:val="22"/>
          </w:rPr>
          <w:t>154A</w:t>
        </w:r>
      </w:hyperlink>
      <w:r>
        <w:rPr>
          <w:rFonts w:ascii="Times New Roman" w:hAnsi="Times New Roman"/>
          <w:b w:val="false"/>
          <w:i w:val="false"/>
          <w:color w:val="000000"/>
          <w:sz w:val="22"/>
        </w:rPr>
        <w:t xml:space="preserve"> or the board. These rules are not intended to regulate unlicensed persons who sell, dispense, market, use, distribute, or provide customer support to over-the-counter hearing aids as regulated by the U.S. Food and 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741.2(2)</w:t>
      </w:r>
      <w:r>
        <w:rPr>
          <w:rFonts w:ascii="Times New Roman" w:hAnsi="Times New Roman"/>
          <w:b w:val="false"/>
          <w:i w:val="false"/>
          <w:color w:val="000000"/>
          <w:sz w:val="22"/>
        </w:rPr>
        <w:t> </w:t>
      </w:r>
      <w:r>
        <w:rPr>
          <w:rFonts w:ascii="Times New Roman" w:hAnsi="Times New Roman"/>
          <w:b w:val="false"/>
          <w:i w:val="false"/>
          <w:color w:val="000000"/>
          <w:sz w:val="22"/>
        </w:rPr>
        <w:t xml:space="preserve">An audiologist dispensing hearing aids will be held to the same standard of care as a licensed hearing aid specialist and will follow the rules in </w:t>
      </w:r>
      <w:hyperlink r:id="rId8">
        <w:r>
          <w:rPr>
            <w:rStyle w:val="Hyperlink"/>
            <w:rFonts w:ascii="Times New Roman" w:hAnsi="Times New Roman"/>
            <w:b w:val="false"/>
            <w:i w:val="false"/>
            <w:color w:val="000000"/>
            <w:sz w:val="22"/>
          </w:rPr>
          <w:t>481—Chapter 2062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9">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154F</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9315C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5863C</w:t>
      </w:r>
      <w:r>
        <w:rPr>
          <w:rFonts w:ascii="Times New Roman" w:hAnsi="Times New Roman"/>
          <w:b w:val="false"/>
          <w:i w:val="false"/>
          <w:color w:val="000000"/>
          <w:sz w:val="21"/>
        </w:rPr>
        <w:t xml:space="preserve"> (Notice ARC 5556C, IAB 4/7/21)</w:t>
      </w:r>
      <w:r>
        <w:rPr>
          <w:rFonts w:ascii="Times New Roman" w:hAnsi="Times New Roman"/>
          <w:b w:val="false"/>
          <w:i w:val="false"/>
          <w:color w:val="000000"/>
          <w:sz w:val="21"/>
        </w:rPr>
        <w:t>, IAB 8/25/21, effective 9/29/21]</w:t>
      </w:r>
    </w:p>
    <w:p>
      <w:pPr>
        <w:spacing w:before="0" w:after="0"/>
        <w:ind w:left="120"/>
        <w:jc w:val="center"/>
      </w:pPr>
      <w:r>
        <w:rPr>
          <w:rFonts w:ascii="Times New Roman" w:hAnsi="Times New Roman"/>
          <w:b w:val="false"/>
          <w:i w:val="false"/>
          <w:color w:val="000000"/>
          <w:sz w:val="21"/>
        </w:rPr>
        <w:t>[Filed ARC 7826C</w:t>
      </w:r>
      <w:r>
        <w:rPr>
          <w:rFonts w:ascii="Times New Roman" w:hAnsi="Times New Roman"/>
          <w:b w:val="false"/>
          <w:i w:val="false"/>
          <w:color w:val="000000"/>
          <w:sz w:val="21"/>
        </w:rPr>
        <w:t xml:space="preserve"> (Notice ARC 7469C,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9315C</w:t>
      </w:r>
      <w:r>
        <w:rPr>
          <w:rFonts w:ascii="Times New Roman" w:hAnsi="Times New Roman"/>
          <w:b w:val="false"/>
          <w:i w:val="false"/>
          <w:color w:val="000000"/>
          <w:sz w:val="21"/>
        </w:rPr>
        <w:t xml:space="preserve"> (Notice ARC 8950C, IAB 2/19/25)</w:t>
      </w:r>
      <w:r>
        <w:rPr>
          <w:rFonts w:ascii="Times New Roman" w:hAnsi="Times New Roman"/>
          <w:b w:val="false"/>
          <w:i w:val="false"/>
          <w:color w:val="000000"/>
          <w:sz w:val="21"/>
        </w:rPr>
        <w:t>, IAB 5/28/25, effective 7/2/25]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pdf" Type="http://schemas.openxmlformats.org/officeDocument/2006/relationships/hyperlink" Id="rId5"/>
    <Relationship TargetMode="External" Target="https://www.legis.iowa.gov/docs/ico/chapter/154F.pdf" Type="http://schemas.openxmlformats.org/officeDocument/2006/relationships/hyperlink" Id="rId6"/>
    <Relationship TargetMode="External" Target="https://www.legis.iowa.gov/docs/ico/chapter/154A.pdf" Type="http://schemas.openxmlformats.org/officeDocument/2006/relationships/hyperlink" Id="rId7"/>
    <Relationship TargetMode="External" Target="https://www.legis.iowa.gov/docs/iac/chapter/481.2062.pdf" Type="http://schemas.openxmlformats.org/officeDocument/2006/relationships/hyperlink" Id="rId8"/>
    <Relationship TargetMode="External" Target="https://www.legis.iowa.gov/docs/ico/chapter/147.pdf" Type="http://schemas.openxmlformats.org/officeDocument/2006/relationships/hyperlink" Id="rId9"/>
    <Relationship TargetMode="External" Target="https://www.legis.iowa.gov/docs/ico/chapter/154F.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