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SPEECH PATHOLOGY AND AUDIOLOGY</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740</w:t>
      </w:r>
    </w:p>
    <w:p>
      <w:pPr>
        <w:spacing w:before="0" w:after="0"/>
        <w:ind w:left="120"/>
        <w:jc w:val="center"/>
      </w:pPr>
      <w:r>
        <w:rPr>
          <w:rFonts w:ascii="Times New Roman" w:hAnsi="Times New Roman"/>
          <w:b w:val="false"/>
          <w:i w:val="false"/>
          <w:color w:val="000000"/>
          <w:sz w:val="21"/>
        </w:rPr>
        <w:t>LICENSURE OF SPEECH PATHOLOGISTS AND AUDIOLOGISTS</w:t>
      </w:r>
    </w:p>
    <w:p>
      <w:pPr>
        <w:spacing w:before="0" w:after="0"/>
        <w:ind w:left="120"/>
        <w:jc w:val="center"/>
      </w:pPr>
      <w:r>
        <w:rPr>
          <w:rFonts w:ascii="Times New Roman" w:hAnsi="Times New Roman"/>
          <w:b w:val="false"/>
          <w:i w:val="false"/>
          <w:color w:val="000000"/>
          <w:sz w:val="20"/>
        </w:rPr>
        <w:t>[Prior to 9/18/24, see Professional Licensure Division[645] Ch 300]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481—740.1</w:t>
      </w:r>
      <w:r>
        <w:rPr>
          <w:rFonts w:ascii="Times New Roman" w:hAnsi="Times New Roman"/>
          <w:b/>
          <w:i w:val="false"/>
          <w:color w:val="000000"/>
          <w:sz w:val="22"/>
        </w:rPr>
        <w:t xml:space="preserve">(147)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“ABA”</w:t>
      </w:r>
      <w:r>
        <w:rPr>
          <w:rFonts w:ascii="Times New Roman" w:hAnsi="Times New Roman"/>
          <w:b w:val="false"/>
          <w:i w:val="false"/>
          <w:color w:val="000000"/>
          <w:sz w:val="22"/>
        </w:rPr>
        <w:t> </w:t>
      </w:r>
      <w:r>
        <w:rPr>
          <w:rFonts w:ascii="Times New Roman" w:hAnsi="Times New Roman"/>
          <w:b w:val="false"/>
          <w:i w:val="false"/>
          <w:color w:val="000000"/>
          <w:sz w:val="22"/>
        </w:rPr>
        <w:t>means the American Board of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“ASHA”</w:t>
      </w:r>
      <w:r>
        <w:rPr>
          <w:rFonts w:ascii="Times New Roman" w:hAnsi="Times New Roman"/>
          <w:b w:val="false"/>
          <w:i w:val="false"/>
          <w:color w:val="000000"/>
          <w:sz w:val="22"/>
        </w:rPr>
        <w:t> </w:t>
      </w:r>
      <w:r>
        <w:rPr>
          <w:rFonts w:ascii="Times New Roman" w:hAnsi="Times New Roman"/>
          <w:b w:val="false"/>
          <w:i w:val="false"/>
          <w:color w:val="000000"/>
          <w:sz w:val="22"/>
        </w:rPr>
        <w:t>means the American Speech-Language Hearing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“Assistant”</w:t>
      </w:r>
      <w:r>
        <w:rPr>
          <w:rFonts w:ascii="Times New Roman" w:hAnsi="Times New Roman"/>
          <w:b w:val="false"/>
          <w:i w:val="false"/>
          <w:color w:val="000000"/>
          <w:sz w:val="22"/>
        </w:rPr>
        <w:t> </w:t>
      </w:r>
      <w:r>
        <w:rPr>
          <w:rFonts w:ascii="Times New Roman" w:hAnsi="Times New Roman"/>
          <w:b w:val="false"/>
          <w:i w:val="false"/>
          <w:color w:val="000000"/>
          <w:sz w:val="22"/>
        </w:rPr>
        <w:t>means an unlicensed person who works under the supervision of an Iowa-licensed speech pathologist or audiologist and meets the minimum requirements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“Audiologist”</w:t>
      </w:r>
      <w:r>
        <w:rPr>
          <w:rFonts w:ascii="Times New Roman" w:hAnsi="Times New Roman"/>
          <w:b w:val="false"/>
          <w:i w:val="false"/>
          <w:color w:val="000000"/>
          <w:sz w:val="22"/>
        </w:rPr>
        <w:t> </w:t>
      </w:r>
      <w:r>
        <w:rPr>
          <w:rFonts w:ascii="Times New Roman" w:hAnsi="Times New Roman"/>
          <w:b w:val="false"/>
          <w:i w:val="false"/>
          <w:color w:val="000000"/>
          <w:sz w:val="22"/>
        </w:rPr>
        <w:t>means a person who engages in the application of principles, methods and procedures for measurement, testing, evaluation, prediction, consultation, counseling, instruction, habilitation, rehabilitation, or remediation related to hearing and disorders of hearing and associated communication disorders for the purpose of nonmedically evaluating, identifying, preventing, ameliorating, modifying, or remediating such disorders and conditions in individuals or groups of individuals, including the determination, selection and use of appropriate hearing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speech pathology and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“DCI”</w:t>
      </w:r>
      <w:r>
        <w:rPr>
          <w:rFonts w:ascii="Times New Roman" w:hAnsi="Times New Roman"/>
          <w:b w:val="false"/>
          <w:i w:val="false"/>
          <w:color w:val="000000"/>
          <w:sz w:val="22"/>
        </w:rPr>
        <w:t> </w:t>
      </w:r>
      <w:r>
        <w:rPr>
          <w:rFonts w:ascii="Times New Roman" w:hAnsi="Times New Roman"/>
          <w:b w:val="false"/>
          <w:i w:val="false"/>
          <w:color w:val="000000"/>
          <w:sz w:val="22"/>
        </w:rPr>
        <w:t>means the Iowa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“FBI”</w:t>
      </w:r>
      <w:r>
        <w:rPr>
          <w:rFonts w:ascii="Times New Roman" w:hAnsi="Times New Roman"/>
          <w:b w:val="false"/>
          <w:i w:val="false"/>
          <w:color w:val="000000"/>
          <w:sz w:val="22"/>
        </w:rPr>
        <w:t> </w:t>
      </w:r>
      <w:r>
        <w:rPr>
          <w:rFonts w:ascii="Times New Roman" w:hAnsi="Times New Roman"/>
          <w:b w:val="false"/>
          <w:i w:val="false"/>
          <w:color w:val="000000"/>
          <w:sz w:val="22"/>
        </w:rPr>
        <w:t>means the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“Full-time”</w:t>
      </w:r>
      <w:r>
        <w:rPr>
          <w:rFonts w:ascii="Times New Roman" w:hAnsi="Times New Roman"/>
          <w:b w:val="false"/>
          <w:i w:val="false"/>
          <w:color w:val="000000"/>
          <w:sz w:val="22"/>
        </w:rPr>
        <w:t> </w:t>
      </w:r>
      <w:r>
        <w:rPr>
          <w:rFonts w:ascii="Times New Roman" w:hAnsi="Times New Roman"/>
          <w:b w:val="false"/>
          <w:i w:val="false"/>
          <w:color w:val="000000"/>
          <w:sz w:val="22"/>
        </w:rPr>
        <w:t>means a minimum of 30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speech pathologist or audiologist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expiration date”</w:t>
      </w:r>
      <w:r>
        <w:rPr>
          <w:rFonts w:ascii="Times New Roman" w:hAnsi="Times New Roman"/>
          <w:b w:val="false"/>
          <w:i w:val="false"/>
          <w:color w:val="000000"/>
          <w:sz w:val="22"/>
        </w:rPr>
        <w:t> </w:t>
      </w:r>
      <w:r>
        <w:rPr>
          <w:rFonts w:ascii="Times New Roman" w:hAnsi="Times New Roman"/>
          <w:b w:val="false"/>
          <w:i w:val="false"/>
          <w:color w:val="000000"/>
          <w:sz w:val="22"/>
        </w:rPr>
        <w:t>means December 31 of odd-numbered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 site”</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be continuously on site and present in the department or facility where services are being provided;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be immediately available to assist the person being supervised in the services being performed;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provide continued direction of appropriate aspects of each treatment session in which a component of treatment is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481—740.10</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“Speech pathologist”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“speech-language pathologist”</w:t>
      </w:r>
      <w:r>
        <w:rPr>
          <w:rFonts w:ascii="Times New Roman" w:hAnsi="Times New Roman"/>
          <w:b w:val="false"/>
          <w:i w:val="false"/>
          <w:color w:val="000000"/>
          <w:sz w:val="22"/>
        </w:rPr>
        <w:t> </w:t>
      </w:r>
      <w:r>
        <w:rPr>
          <w:rFonts w:ascii="Times New Roman" w:hAnsi="Times New Roman"/>
          <w:b w:val="false"/>
          <w:i w:val="false"/>
          <w:color w:val="000000"/>
          <w:sz w:val="22"/>
        </w:rPr>
        <w:t>means a person who engages in the application of principles, methods, and procedures for the measurement, testing, evaluation, prediction, consultation, counseling, instruction, habilitation, rehabilitation, or remediation related to the development and disorders of speech, swallowing, fluency, voice, or language for the purpose of nonmedically evaluating, preventing, ameliorating, modifying, or remediating such disorders and conditions in individuals or groups of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0596D</w:t>
      </w:r>
      <w:r>
        <w:rPr>
          <w:rFonts w:ascii="Times New Roman" w:hAnsi="Times New Roman"/>
          <w:b w:val="false"/>
          <w:i w:val="false"/>
          <w:color w:val="000000"/>
          <w:sz w:val="16"/>
        </w:rPr>
        <w:t>, IAB 9/16/26,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481—740.2</w:t>
      </w:r>
      <w:r>
        <w:rPr>
          <w:rFonts w:ascii="Times New Roman" w:hAnsi="Times New Roman"/>
          <w:b/>
          <w:i w:val="false"/>
          <w:color w:val="000000"/>
          <w:sz w:val="22"/>
        </w:rPr>
        <w:t xml:space="preserve">(147) </w:t>
      </w:r>
      <w:r>
        <w:rPr>
          <w:rFonts w:ascii="Times New Roman" w:hAnsi="Times New Roman"/>
          <w:b/>
          <w:i w:val="false"/>
          <w:color w:val="000000"/>
          <w:sz w:val="22"/>
        </w:rPr>
        <w:t xml:space="preserve">Initial licensure. </w:t>
      </w:r>
      <w:r>
        <w:rPr>
          <w:rFonts w:ascii="Times New Roman" w:hAnsi="Times New Roman"/>
          <w:b w:val="false"/>
          <w:i w:val="false"/>
          <w:color w:val="000000"/>
          <w:sz w:val="22"/>
        </w:rPr>
        <w:t>The following criteria will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will submit a completed online licensure application and pay the nonrefundable licensure fee specified in rule </w:t>
      </w:r>
      <w:hyperlink r:id="rId7">
        <w:r>
          <w:rPr>
            <w:rStyle w:val="Hyperlink"/>
            <w:rFonts w:ascii="Times New Roman" w:hAnsi="Times New Roman"/>
            <w:b w:val="false"/>
            <w:i w:val="false"/>
            <w:color w:val="000000"/>
            <w:sz w:val="22"/>
          </w:rPr>
          <w:t>481—507.20</w:t>
        </w:r>
      </w:hyperlink>
      <w:r>
        <w:rPr>
          <w:rFonts w:ascii="Times New Roman" w:hAnsi="Times New Roman"/>
          <w:b w:val="false"/>
          <w:i w:val="false"/>
          <w:color w:val="000000"/>
          <w:sz w:val="22"/>
        </w:rPr>
        <w:t>(147,154F).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740.2(2)</w:t>
      </w:r>
      <w:r>
        <w:rPr>
          <w:rFonts w:ascii="Times New Roman" w:hAnsi="Times New Roman"/>
          <w:b w:val="false"/>
          <w:i w:val="false"/>
          <w:color w:val="000000"/>
          <w:sz w:val="22"/>
        </w:rPr>
        <w:t> </w:t>
      </w:r>
      <w:r>
        <w:rPr>
          <w:rFonts w:ascii="Times New Roman" w:hAnsi="Times New Roman"/>
          <w:b w:val="false"/>
          <w:i w:val="false"/>
          <w:color w:val="000000"/>
          <w:sz w:val="22"/>
        </w:rPr>
        <w:t>Application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who did not complete the nine months of clinical experience under supervision of a licensed Iowa speech pathologist or audiologist, as appropriate, must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official copy of a current ASHA certificate of clinical competence;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current ABA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complete the nine-month clinical experience under Iowa supervision may submit evidence of licensure requirements as outlined in paragraph </w:t>
      </w:r>
      <w:hyperlink r:id="rId8">
        <w:r>
          <w:rPr>
            <w:rStyle w:val="Hyperlink"/>
            <w:rFonts w:ascii="Times New Roman" w:hAnsi="Times New Roman"/>
            <w:b w:val="false"/>
            <w:i w:val="false"/>
            <w:color w:val="000000"/>
            <w:sz w:val="22"/>
          </w:rPr>
          <w:t>740.2(2)</w:t>
        </w:r>
        <w:r>
          <w:rPr>
            <w:rFonts w:ascii="Times New Roman" w:hAnsi="Times New Roman"/>
            <w:b w:val="false"/>
            <w:i/>
            <w:color w:val="000000"/>
            <w:sz w:val="22"/>
          </w:rPr>
          <w:t>“a”</w:t>
        </w:r>
      </w:hyperlink>
      <w:r>
        <w:rPr>
          <w:rFonts w:ascii="Times New Roman" w:hAnsi="Times New Roman"/>
          <w:b w:val="false"/>
          <w:i w:val="false"/>
          <w:color w:val="000000"/>
          <w:sz w:val="22"/>
        </w:rPr>
        <w:t xml:space="preserve"> or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copies of academic transcripts sent directly from the school to the board showing proof of completion of not less than 400 hours of supervised clinical training;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nine months of full-time clinical experience, or equivalent, completed after the master’s degree, under the supervision of a licensed speech pathologist or audiologist or as a part of the doctoral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Results of the Praxis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740.2(3)</w:t>
      </w:r>
      <w:r>
        <w:rPr>
          <w:rFonts w:ascii="Times New Roman" w:hAnsi="Times New Roman"/>
          <w:b w:val="false"/>
          <w:i w:val="false"/>
          <w:color w:val="000000"/>
          <w:sz w:val="22"/>
        </w:rPr>
        <w:t> </w:t>
      </w:r>
      <w:r>
        <w:rPr>
          <w:rFonts w:ascii="Times New Roman" w:hAnsi="Times New Roman"/>
          <w:b w:val="false"/>
          <w:i w:val="false"/>
          <w:color w:val="000000"/>
          <w:sz w:val="22"/>
        </w:rPr>
        <w:t>Applicants will submit required waivers and fingerprints pursuant to the board-approved process to facilitate a national criminal history background check by the DCI and the FBI. The cost of the criminal history background check by the DCI and the FBI shall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740.2(4)</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the District of Columbia or another state, territory, province or foreign country who has been a licensed speech pathologist or audiologist under the laws of another jurisdiction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9">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740.2(6)</w:t>
      </w:r>
      <w:r>
        <w:rPr>
          <w:rFonts w:ascii="Times New Roman" w:hAnsi="Times New Roman"/>
          <w:b w:val="false"/>
          <w:i w:val="false"/>
          <w:color w:val="000000"/>
          <w:sz w:val="22"/>
        </w:rPr>
        <w:t> </w:t>
      </w:r>
      <w:r>
        <w:rPr>
          <w:rFonts w:ascii="Times New Roman" w:hAnsi="Times New Roman"/>
          <w:b w:val="false"/>
          <w:i w:val="false"/>
          <w:color w:val="000000"/>
          <w:sz w:val="22"/>
        </w:rPr>
        <w:t>If the application is not completed according to the instructions, the application will not be reviewed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0596D</w:t>
      </w:r>
      <w:r>
        <w:rPr>
          <w:rFonts w:ascii="Times New Roman" w:hAnsi="Times New Roman"/>
          <w:b w:val="false"/>
          <w:i w:val="false"/>
          <w:color w:val="000000"/>
          <w:sz w:val="16"/>
        </w:rPr>
        <w:t>, IAB 9/16/26,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481—740.3</w:t>
      </w:r>
      <w:r>
        <w:rPr>
          <w:rFonts w:ascii="Times New Roman" w:hAnsi="Times New Roman"/>
          <w:b/>
          <w:i w:val="false"/>
          <w:color w:val="000000"/>
          <w:sz w:val="22"/>
        </w:rPr>
        <w:t xml:space="preserve">(147)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740.3(1)</w:t>
      </w:r>
      <w:r>
        <w:rPr>
          <w:rFonts w:ascii="Times New Roman" w:hAnsi="Times New Roman"/>
          <w:b w:val="false"/>
          <w:i w:val="false"/>
          <w:color w:val="000000"/>
          <w:sz w:val="22"/>
        </w:rPr>
        <w:t> </w:t>
      </w:r>
      <w:r>
        <w:rPr>
          <w:rFonts w:ascii="Times New Roman" w:hAnsi="Times New Roman"/>
          <w:b w:val="false"/>
          <w:i w:val="false"/>
          <w:color w:val="000000"/>
          <w:sz w:val="22"/>
        </w:rPr>
        <w:t>The applicant shall possess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master’s degree from an accredited school, college or university with a major in speech pathology;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master’s or doctoral degree from an accredited school, college or university with a major in audiology.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740.3(2)</w:t>
      </w:r>
      <w:r>
        <w:rPr>
          <w:rFonts w:ascii="Times New Roman" w:hAnsi="Times New Roman"/>
          <w:b w:val="false"/>
          <w:i w:val="false"/>
          <w:color w:val="000000"/>
          <w:sz w:val="22"/>
        </w:rPr>
        <w:t> </w:t>
      </w:r>
      <w:r>
        <w:rPr>
          <w:rFonts w:ascii="Times New Roman" w:hAnsi="Times New Roman"/>
          <w:b w:val="false"/>
          <w:i w:val="false"/>
          <w:color w:val="000000"/>
          <w:sz w:val="22"/>
        </w:rPr>
        <w:t>Foreign-trained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Foreign-trained speech pathologist and audiologist applicants who do not hold a license in another state or U.S. territory shall provide an English translation and an equivalency evaluation at the licensee’s expense of the licensee’s educational credentials by one of the approved credential evaluation services on ABA’s or ASHA’s websites or approved by the board. The professional curriculum must be equivalent to that stated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Foreign-trained applicants who hold a license in another state or U.S. territory may apply for licensure by endorsement.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0596D</w:t>
      </w:r>
      <w:r>
        <w:rPr>
          <w:rFonts w:ascii="Times New Roman" w:hAnsi="Times New Roman"/>
          <w:b w:val="false"/>
          <w:i w:val="false"/>
          <w:color w:val="000000"/>
          <w:sz w:val="16"/>
        </w:rPr>
        <w:t>, IAB 9/16/26,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481—740.4</w:t>
      </w:r>
      <w:r>
        <w:rPr>
          <w:rFonts w:ascii="Times New Roman" w:hAnsi="Times New Roman"/>
          <w:b/>
          <w:i w:val="false"/>
          <w:color w:val="000000"/>
          <w:sz w:val="22"/>
        </w:rPr>
        <w:t xml:space="preserve">(147) </w:t>
      </w:r>
      <w:r>
        <w:rPr>
          <w:rFonts w:ascii="Times New Roman" w:hAnsi="Times New Roman"/>
          <w:b/>
          <w:i w:val="false"/>
          <w:color w:val="000000"/>
          <w:sz w:val="22"/>
        </w:rPr>
        <w:t xml:space="preserve">Examination requirements. </w:t>
      </w:r>
      <w:r>
        <w:rPr>
          <w:rFonts w:ascii="Times New Roman" w:hAnsi="Times New Roman"/>
          <w:b w:val="false"/>
          <w:i w:val="false"/>
          <w:color w:val="000000"/>
          <w:sz w:val="22"/>
        </w:rPr>
        <w:t>The examination required by the board will be the Praxis Examination in speech pathology or audiology. This examination is administered by the Educational Testing Service. The applicant will make arrangements to take the Praxis Examination in speech pathology or audiology and pay all expenses associated with taking the examination. The applicant will have the examination scores sent directly to the board from the Educational Testing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481—740.5</w:t>
      </w:r>
      <w:r>
        <w:rPr>
          <w:rFonts w:ascii="Times New Roman" w:hAnsi="Times New Roman"/>
          <w:b/>
          <w:i w:val="false"/>
          <w:color w:val="000000"/>
          <w:sz w:val="22"/>
        </w:rPr>
        <w:t xml:space="preserve">(147) </w:t>
      </w:r>
      <w:r>
        <w:rPr>
          <w:rFonts w:ascii="Times New Roman" w:hAnsi="Times New Roman"/>
          <w:b/>
          <w:i w:val="false"/>
          <w:color w:val="000000"/>
          <w:sz w:val="22"/>
        </w:rPr>
        <w:t xml:space="preserve">Audiology and speech-language pathology interstate compact. </w:t>
      </w:r>
      <w:r>
        <w:rPr>
          <w:rFonts w:ascii="Times New Roman" w:hAnsi="Times New Roman"/>
          <w:b w:val="false"/>
          <w:i w:val="false"/>
          <w:color w:val="000000"/>
          <w:sz w:val="22"/>
        </w:rPr>
        <w:t xml:space="preserve">The rules of the audiology and speech-language pathology interstate compact commission are incorporated by reference pursuant to Iowa Code section </w:t>
      </w:r>
      <w:hyperlink r:id="rId10">
        <w:r>
          <w:rPr>
            <w:rStyle w:val="Hyperlink"/>
            <w:rFonts w:ascii="Times New Roman" w:hAnsi="Times New Roman"/>
            <w:b w:val="false"/>
            <w:i w:val="false"/>
            <w:color w:val="000000"/>
            <w:sz w:val="22"/>
          </w:rPr>
          <w:t>147F.1</w:t>
        </w:r>
      </w:hyperlink>
      <w:r>
        <w:rPr>
          <w:rFonts w:ascii="Times New Roman" w:hAnsi="Times New Roman"/>
          <w:b w:val="false"/>
          <w:i w:val="false"/>
          <w:color w:val="000000"/>
          <w:sz w:val="22"/>
        </w:rPr>
        <w:t xml:space="preserve">. An audiologist or speech-language pathologist may engage in the practice of audiology or speech-language pathology in Iowa without a license issued by the board if the individual has a current compact privilege to practice in Iowa issued by the audiology and speech-language pathology interstate compact commission. The state fee for issuance of a compact privilege to practice in Iowa shall be $60, which will be collected by the speech-language pathology interstate compact commission. The state fee for issuance of a compact privilege to practice in Iowa shall be waived for an active-duty military member or spouse of an individual who is an active-duty military member. An audiologist or speech-language pathologist who practices audiology or speech-language pathology in Iowa using a compact privilege is subject to the rules governing licensees in rule </w:t>
      </w:r>
      <w:hyperlink r:id="rId11">
        <w:r>
          <w:rPr>
            <w:rStyle w:val="Hyperlink"/>
            <w:rFonts w:ascii="Times New Roman" w:hAnsi="Times New Roman"/>
            <w:b w:val="false"/>
            <w:i w:val="false"/>
            <w:color w:val="000000"/>
            <w:sz w:val="22"/>
          </w:rPr>
          <w:t>481—740.8</w:t>
        </w:r>
      </w:hyperlink>
      <w:r>
        <w:rPr>
          <w:rFonts w:ascii="Times New Roman" w:hAnsi="Times New Roman"/>
          <w:b w:val="false"/>
          <w:i w:val="false"/>
          <w:color w:val="000000"/>
          <w:sz w:val="22"/>
        </w:rPr>
        <w:t xml:space="preserve">(147) and in 481—Chapters </w:t>
      </w:r>
      <w:hyperlink r:id="rId12">
        <w:r>
          <w:rPr>
            <w:rStyle w:val="Hyperlink"/>
            <w:rFonts w:ascii="Times New Roman" w:hAnsi="Times New Roman"/>
            <w:b w:val="false"/>
            <w:i w:val="false"/>
            <w:color w:val="000000"/>
            <w:sz w:val="22"/>
          </w:rPr>
          <w:t>741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743</w:t>
        </w:r>
      </w:hyperlink>
      <w:r>
        <w:rPr>
          <w:rFonts w:ascii="Times New Roman" w:hAnsi="Times New Roman"/>
          <w:b w:val="false"/>
          <w:i w:val="false"/>
          <w:color w:val="000000"/>
          <w:sz w:val="22"/>
        </w:rPr>
        <w:t xml:space="preserve">. Complaints, investigations, and disciplinary proceedings involving a compact privilege shall be handled in accordance with Iowa Code chapters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147F</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with 481—Chapters </w:t>
      </w:r>
      <w:hyperlink r:id="rId18">
        <w:r>
          <w:rPr>
            <w:rStyle w:val="Hyperlink"/>
            <w:rFonts w:ascii="Times New Roman" w:hAnsi="Times New Roman"/>
            <w:b w:val="false"/>
            <w:i w:val="false"/>
            <w:color w:val="000000"/>
            <w:sz w:val="22"/>
          </w:rPr>
          <w:t>503</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0596D</w:t>
      </w:r>
      <w:r>
        <w:rPr>
          <w:rFonts w:ascii="Times New Roman" w:hAnsi="Times New Roman"/>
          <w:b w:val="false"/>
          <w:i w:val="false"/>
          <w:color w:val="000000"/>
          <w:sz w:val="16"/>
        </w:rPr>
        <w:t>, IAB 9/16/26,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481—740.6</w:t>
      </w:r>
      <w:r>
        <w:rPr>
          <w:rFonts w:ascii="Times New Roman" w:hAnsi="Times New Roman"/>
          <w:b/>
          <w:i w:val="false"/>
          <w:color w:val="000000"/>
          <w:sz w:val="22"/>
        </w:rPr>
        <w:t xml:space="preserve">(147) </w:t>
      </w:r>
      <w:r>
        <w:rPr>
          <w:rFonts w:ascii="Times New Roman" w:hAnsi="Times New Roman"/>
          <w:b/>
          <w:i w:val="false"/>
          <w:color w:val="000000"/>
          <w:sz w:val="22"/>
        </w:rPr>
        <w:t xml:space="preserve">Temporary clinical license. </w:t>
      </w:r>
      <w:r>
        <w:rPr>
          <w:rFonts w:ascii="Times New Roman" w:hAnsi="Times New Roman"/>
          <w:b w:val="false"/>
          <w:i w:val="false"/>
          <w:color w:val="000000"/>
          <w:sz w:val="22"/>
        </w:rPr>
        <w:t>A temporary clinical license for the purpose of obtaining clinical experience as a prerequisite for licensure is valid for one year and may be renewed at the discretion of the board. The license shall be designated “temporary clinical license in speech pathology” or “temporary clinical license in audiology.”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740.6(1)</w:t>
      </w:r>
      <w:r>
        <w:rPr>
          <w:rFonts w:ascii="Times New Roman" w:hAnsi="Times New Roman"/>
          <w:b w:val="false"/>
          <w:i w:val="false"/>
          <w:color w:val="000000"/>
          <w:sz w:val="22"/>
        </w:rPr>
        <w:t> </w:t>
      </w:r>
      <w:r>
        <w:rPr>
          <w:rFonts w:ascii="Times New Roman" w:hAnsi="Times New Roman"/>
          <w:b w:val="false"/>
          <w:i w:val="false"/>
          <w:color w:val="000000"/>
          <w:sz w:val="22"/>
        </w:rPr>
        <w:t>A speech pathology applicant will submit the following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supervision by a speech pathologist with an active, current Iowa license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 and the temporary clinical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official copy of the transcript sent directly from the school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Official verification of completion of not less than 400 hours of supervised clinical training in an accredited college or university;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Results of the Praxis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740.6(2)</w:t>
      </w:r>
      <w:r>
        <w:rPr>
          <w:rFonts w:ascii="Times New Roman" w:hAnsi="Times New Roman"/>
          <w:b w:val="false"/>
          <w:i w:val="false"/>
          <w:color w:val="000000"/>
          <w:sz w:val="22"/>
        </w:rPr>
        <w:t> </w:t>
      </w:r>
      <w:r>
        <w:rPr>
          <w:rFonts w:ascii="Times New Roman" w:hAnsi="Times New Roman"/>
          <w:b w:val="false"/>
          <w:i w:val="false"/>
          <w:color w:val="000000"/>
          <w:sz w:val="22"/>
        </w:rPr>
        <w:t>An audiology applicant or an applicant completing a doctoral externship must submit the following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supervision by an audiologist with an active, current Iowa license in good standing. The applicant completing an audiology doctoral externship must show evidence of on-site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 and the temporary clinical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official copy of the transcript, sent directly from the school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Official verification of completion of not less than 400 hours of supervised clinical training in an accredited college or university;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Results of the Praxis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740.6(3)</w:t>
      </w:r>
      <w:r>
        <w:rPr>
          <w:rFonts w:ascii="Times New Roman" w:hAnsi="Times New Roman"/>
          <w:b w:val="false"/>
          <w:i w:val="false"/>
          <w:color w:val="000000"/>
          <w:sz w:val="22"/>
        </w:rPr>
        <w:t> </w:t>
      </w:r>
      <w:r>
        <w:rPr>
          <w:rFonts w:ascii="Times New Roman" w:hAnsi="Times New Roman"/>
          <w:b w:val="false"/>
          <w:i w:val="false"/>
          <w:color w:val="000000"/>
          <w:sz w:val="22"/>
        </w:rPr>
        <w:t>The plan for supervised clinical experience must be approved by the board before the applicant starts practice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at least nine months of full-time clinical experience,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supervision by an Iowa-licensed speech pathologist or audiologist, as appropriate. If the applicant is being supervised by more than one individual, each supervisor must submit a supervised clinical experience plan for approval. If there is a change in the supervised clinical experience plan at any time during the supervised clinical experience, the licensee must contact the board for approval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kept by the supervisor for two years from the last date of the clinical experience;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completed supervised clinical experience report form that shall be submitted to the board of speech pathology and audiology upon the applicant’s successful completion of the nine months of full-time clinical experience. If the applicant was supervised by more than one individual, each supervisor must submit a supervised clinical experience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481—740.7</w:t>
      </w:r>
      <w:r>
        <w:rPr>
          <w:rFonts w:ascii="Times New Roman" w:hAnsi="Times New Roman"/>
          <w:b/>
          <w:i w:val="false"/>
          <w:color w:val="000000"/>
          <w:sz w:val="22"/>
        </w:rPr>
        <w:t xml:space="preserve">(147) </w:t>
      </w:r>
      <w:r>
        <w:rPr>
          <w:rFonts w:ascii="Times New Roman" w:hAnsi="Times New Roman"/>
          <w:b/>
          <w:i w:val="false"/>
          <w:color w:val="000000"/>
          <w:sz w:val="22"/>
        </w:rPr>
        <w:t xml:space="preserve">Temporary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740.7(1)</w:t>
      </w:r>
      <w:r>
        <w:rPr>
          <w:rFonts w:ascii="Times New Roman" w:hAnsi="Times New Roman"/>
          <w:b w:val="false"/>
          <w:i w:val="false"/>
          <w:color w:val="000000"/>
          <w:sz w:val="22"/>
        </w:rPr>
        <w:t> </w:t>
      </w:r>
      <w:r>
        <w:rPr>
          <w:rFonts w:ascii="Times New Roman" w:hAnsi="Times New Roman"/>
          <w:b w:val="false"/>
          <w:i w:val="false"/>
          <w:color w:val="000000"/>
          <w:sz w:val="22"/>
        </w:rPr>
        <w:t>A nonresident may apply to the board for a temporary permit to practice speech pathology or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period not to exceed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submitting a letter to support the need for such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submitting documents to show that the applicant has substantially the same qualifications as required for licensure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submitting the documentation prior to the date the applicant intends to begin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By submitting the temporary permit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740.7(2)</w:t>
      </w:r>
      <w:r>
        <w:rPr>
          <w:rFonts w:ascii="Times New Roman" w:hAnsi="Times New Roman"/>
          <w:b w:val="false"/>
          <w:i w:val="false"/>
          <w:color w:val="000000"/>
          <w:sz w:val="22"/>
        </w:rPr>
        <w:t> </w:t>
      </w:r>
      <w:r>
        <w:rPr>
          <w:rFonts w:ascii="Times New Roman" w:hAnsi="Times New Roman"/>
          <w:b w:val="false"/>
          <w:i w:val="false"/>
          <w:color w:val="000000"/>
          <w:sz w:val="22"/>
        </w:rPr>
        <w:t>The applicant shall receive a final determination from the board regarding the application for a temporary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481—740.8</w:t>
      </w:r>
      <w:r>
        <w:rPr>
          <w:rFonts w:ascii="Times New Roman" w:hAnsi="Times New Roman"/>
          <w:b/>
          <w:i w:val="false"/>
          <w:color w:val="000000"/>
          <w:sz w:val="22"/>
        </w:rPr>
        <w:t xml:space="preserve">(147) </w:t>
      </w:r>
      <w:r>
        <w:rPr>
          <w:rFonts w:ascii="Times New Roman" w:hAnsi="Times New Roman"/>
          <w:b/>
          <w:i w:val="false"/>
          <w:color w:val="000000"/>
          <w:sz w:val="22"/>
        </w:rPr>
        <w:t xml:space="preserve">Use of assistants. </w:t>
      </w:r>
      <w:r>
        <w:rPr>
          <w:rFonts w:ascii="Times New Roman" w:hAnsi="Times New Roman"/>
          <w:b w:val="false"/>
          <w:i w:val="false"/>
          <w:color w:val="000000"/>
          <w:sz w:val="22"/>
        </w:rPr>
        <w:t>A licensee will, in the delivery of professional services, utilize assistants only to the extent provided in these rules. Such assistants will use the title provided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740.8(1)</w:t>
      </w:r>
      <w:r>
        <w:rPr>
          <w:rFonts w:ascii="Times New Roman" w:hAnsi="Times New Roman"/>
          <w:b w:val="false"/>
          <w:i w:val="false"/>
          <w:color w:val="000000"/>
          <w:sz w:val="22"/>
        </w:rPr>
        <w:t> </w:t>
      </w:r>
      <w:r>
        <w:rPr>
          <w:rFonts w:ascii="Times New Roman" w:hAnsi="Times New Roman"/>
          <w:b w:val="false"/>
          <w:i/>
          <w:color w:val="000000"/>
          <w:sz w:val="22"/>
        </w:rPr>
        <w:t xml:space="preserve">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Speech pathology assistant I. </w:t>
      </w:r>
      <w:r>
        <w:rPr>
          <w:rFonts w:ascii="Times New Roman" w:hAnsi="Times New Roman"/>
          <w:b w:val="false"/>
          <w:i w:val="false"/>
          <w:color w:val="000000"/>
          <w:sz w:val="22"/>
        </w:rPr>
        <w:t>A speech pathology assistant I works with an individual for whom significant improvement is expected within a reasonable amount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Speech pathology assistant II. </w:t>
      </w:r>
      <w:r>
        <w:rPr>
          <w:rFonts w:ascii="Times New Roman" w:hAnsi="Times New Roman"/>
          <w:b w:val="false"/>
          <w:i w:val="false"/>
          <w:color w:val="000000"/>
          <w:sz w:val="22"/>
        </w:rPr>
        <w:t>A speech pathology assistant II works with an individual for whom maintenance of present level of communication is the goal; or for whom, based on the history and diagnosis, only slow improvement is expected.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Audiology assistant I. </w:t>
      </w:r>
      <w:r>
        <w:rPr>
          <w:rFonts w:ascii="Times New Roman" w:hAnsi="Times New Roman"/>
          <w:b w:val="false"/>
          <w:i w:val="false"/>
          <w:color w:val="000000"/>
          <w:sz w:val="22"/>
        </w:rPr>
        <w:t>An audiology assistant I is more broadly trained and may be given a variety of duties depending upon the individual’s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Audiology assistant II. </w:t>
      </w:r>
      <w:r>
        <w:rPr>
          <w:rFonts w:ascii="Times New Roman" w:hAnsi="Times New Roman"/>
          <w:b w:val="false"/>
          <w:i w:val="false"/>
          <w:color w:val="000000"/>
          <w:sz w:val="22"/>
        </w:rPr>
        <w:t>An audiology assistant II is trained specifically for a single task for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740.8(2)</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speech pathology assistant I or II or audiology assistant I will satisfy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Reach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 high school education, or its equivalent;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three-semester-hour (or four-quarter-hour) course in introductory speech and language pathology for speech pathology assistants or in audiology for audiology assistants from an accredited educational institution and 15 hours of instruction in the specific tasks that the assistant will be performing;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minimum training period comprised of 75 clock hours on instruction and practicum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audiology assistant II will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Reach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 high school education,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a minimum of 15 clock hours of instruction and practicum experience in the specific task that the assistant will be performing.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740.8(3)</w:t>
      </w:r>
      <w:r>
        <w:rPr>
          <w:rFonts w:ascii="Times New Roman" w:hAnsi="Times New Roman"/>
          <w:b w:val="false"/>
          <w:i w:val="false"/>
          <w:color w:val="000000"/>
          <w:sz w:val="22"/>
        </w:rPr>
        <w:t> </w:t>
      </w:r>
      <w:r>
        <w:rPr>
          <w:rFonts w:ascii="Times New Roman" w:hAnsi="Times New Roman"/>
          <w:b w:val="false"/>
          <w:i/>
          <w:color w:val="000000"/>
          <w:sz w:val="22"/>
        </w:rPr>
        <w:t xml:space="preserve">Utilization. </w:t>
      </w:r>
      <w:r>
        <w:rPr>
          <w:rFonts w:ascii="Times New Roman" w:hAnsi="Times New Roman"/>
          <w:b w:val="false"/>
          <w:i w:val="false"/>
          <w:color w:val="000000"/>
          <w:sz w:val="22"/>
        </w:rPr>
        <w:t>Utilization of a speech pathology or audiology assistant requires that a plan be developed by the licensee desiring to utilize that assistant, consisting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assistant meets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written plan of the activities and supervision that will be kept by the licensee supervising the assistant. This supervision will include direct on-site observation for a minimum of 20 percent of the assistant’s direct patient care for level I speech pathology and level I audiology assistants and 10 percent for level II speech pathology assistants. Level II audiology assistants will be supervised 10 percent of the time. At least half of that time will be direct on-site observation with the other portion provided as time interpreting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listing of the facilities where the assistant will be utilized;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signed by the licensee and the assistant, acknowledging the licensee and the assistant have read the rules pertaining to assistants.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740.8(4)</w:t>
      </w:r>
      <w:r>
        <w:rPr>
          <w:rFonts w:ascii="Times New Roman" w:hAnsi="Times New Roman"/>
          <w:b w:val="false"/>
          <w:i w:val="false"/>
          <w:color w:val="000000"/>
          <w:sz w:val="22"/>
        </w:rPr>
        <w:t> </w:t>
      </w:r>
      <w:r>
        <w:rPr>
          <w:rFonts w:ascii="Times New Roman" w:hAnsi="Times New Roman"/>
          <w:b w:val="false"/>
          <w:i/>
          <w:color w:val="000000"/>
          <w:sz w:val="22"/>
        </w:rPr>
        <w:t xml:space="preserve">Maximum number of assistants. </w:t>
      </w:r>
      <w:r>
        <w:rPr>
          <w:rFonts w:ascii="Times New Roman" w:hAnsi="Times New Roman"/>
          <w:b w:val="false"/>
          <w:i w:val="false"/>
          <w:color w:val="000000"/>
          <w:sz w:val="22"/>
        </w:rPr>
        <w:t>A licensee may not utilize more than three assistants unless a plan of supervision is filed and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740.8(5)</w:t>
      </w:r>
      <w:r>
        <w:rPr>
          <w:rFonts w:ascii="Times New Roman" w:hAnsi="Times New Roman"/>
          <w:b w:val="false"/>
          <w:i w:val="false"/>
          <w:color w:val="000000"/>
          <w:sz w:val="22"/>
        </w:rPr>
        <w:t> </w:t>
      </w:r>
      <w:r>
        <w:rPr>
          <w:rFonts w:ascii="Times New Roman" w:hAnsi="Times New Roman"/>
          <w:b w:val="false"/>
          <w:i/>
          <w:color w:val="000000"/>
          <w:sz w:val="22"/>
        </w:rPr>
        <w:t xml:space="preserve">Supervisor responsibilities. </w:t>
      </w:r>
      <w:r>
        <w:rPr>
          <w:rFonts w:ascii="Times New Roman" w:hAnsi="Times New Roman"/>
          <w:b w:val="false"/>
          <w:i w:val="false"/>
          <w:color w:val="000000"/>
          <w:sz w:val="22"/>
        </w:rPr>
        <w:t>A licensee who utilizes an assistant will have the following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legally responsible for the actions of the assistant in assigned duties with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make all professional decisions relating to the management of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ensure that the assistant is assigned only those duties and responsibilities for which the assistant has been specifically trained and is qualified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ensure compliance of the assistant(s) under supervision with the provisions of these rules by providing direct observation and supervision of the activities of the assistant;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submit to the board of speech pathology and audiology upon request a copy of the plan of activities and supervision for each assistant and documentation of the dates each assistant was utilized by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481—740.9</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speech pathology or audiology will begin on January 1 of an even-numbered year and end on December 31 of the next odd-numbered year.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an initial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21">
        <w:r>
          <w:rPr>
            <w:rStyle w:val="Hyperlink"/>
            <w:rFonts w:ascii="Times New Roman" w:hAnsi="Times New Roman"/>
            <w:b w:val="false"/>
            <w:i w:val="false"/>
            <w:color w:val="000000"/>
            <w:sz w:val="22"/>
          </w:rPr>
          <w:t>481—742.2</w:t>
        </w:r>
      </w:hyperlink>
      <w:r>
        <w:rPr>
          <w:rFonts w:ascii="Times New Roman" w:hAnsi="Times New Roman"/>
          <w:b w:val="false"/>
          <w:i w:val="false"/>
          <w:color w:val="000000"/>
          <w:sz w:val="22"/>
        </w:rPr>
        <w:t xml:space="preserve">(147) and the mandatory reporting requirements of subrule </w:t>
      </w:r>
      <w:r>
        <w:rPr>
          <w:rFonts w:ascii="Times New Roman" w:hAnsi="Times New Roman"/>
          <w:b w:val="false"/>
          <w:i w:val="false"/>
          <w:color w:val="000000"/>
          <w:sz w:val="22"/>
        </w:rPr>
        <w:t>740.9(4)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examines, attends, counsels, or treats children, dependent adults, or both in the scope of a licensee’s professional practice will complete the applicable department of health and human services’ training relating to the identification and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740.10(4)</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If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740.9(6)</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22">
        <w:r>
          <w:rPr>
            <w:rStyle w:val="Hyperlink"/>
            <w:rFonts w:ascii="Times New Roman" w:hAnsi="Times New Roman"/>
            <w:b w:val="false"/>
            <w:i w:val="false"/>
            <w:color w:val="000000"/>
            <w:sz w:val="22"/>
          </w:rPr>
          <w:t>481—subrule 507.20(3)</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740.9(8)</w:t>
      </w:r>
      <w:r>
        <w:rPr>
          <w:rFonts w:ascii="Times New Roman" w:hAnsi="Times New Roman"/>
          <w:b w:val="false"/>
          <w:i w:val="false"/>
          <w:color w:val="000000"/>
          <w:sz w:val="22"/>
        </w:rPr>
        <w:t> </w:t>
      </w:r>
      <w:r>
        <w:rPr>
          <w:rFonts w:ascii="Times New Roman" w:hAnsi="Times New Roman"/>
          <w:b w:val="false"/>
          <w:i w:val="false"/>
          <w:color w:val="000000"/>
          <w:sz w:val="22"/>
        </w:rPr>
        <w:t>Inactive license. A licensee who fails to renew the license by the end of the grace period has an inactive license. A licensee whose license is inactive continues to hold the privilege of licensure in Iowa, but may not practice until the license is reactivated.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740.9(9)</w:t>
      </w:r>
      <w:r>
        <w:rPr>
          <w:rFonts w:ascii="Times New Roman" w:hAnsi="Times New Roman"/>
          <w:b w:val="false"/>
          <w:i w:val="false"/>
          <w:color w:val="000000"/>
          <w:sz w:val="22"/>
        </w:rPr>
        <w:t> </w:t>
      </w:r>
      <w:r>
        <w:rPr>
          <w:rFonts w:ascii="Times New Roman" w:hAnsi="Times New Roman"/>
          <w:b w:val="false"/>
          <w:i w:val="false"/>
          <w:color w:val="000000"/>
          <w:sz w:val="22"/>
        </w:rPr>
        <w:t>Compact eligibility review. This rule applies to licensees who were licensed prior to enactment of this rule. In order to complete the compact eligibility review, at or prior to a licensee’s next renewal, the licensee must submit required waivers and fingerprints pursuant to the board-approved process to facilitate a national criminal history background check. The cost for the evaluation of the fingerprint packet and the DCI and the FBI criminal history background checks will be assessed to the applicant. The board may withhold issuing a license pending receipt of a report from the DCI and the FBI.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0596D</w:t>
      </w:r>
      <w:r>
        <w:rPr>
          <w:rFonts w:ascii="Times New Roman" w:hAnsi="Times New Roman"/>
          <w:b w:val="false"/>
          <w:i w:val="false"/>
          <w:color w:val="000000"/>
          <w:sz w:val="16"/>
        </w:rPr>
        <w:t>, IAB 9/16/26,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740.10(1)</w:t>
      </w:r>
      <w:r>
        <w:rPr>
          <w:rFonts w:ascii="Times New Roman" w:hAnsi="Times New Roman"/>
          <w:b w:val="false"/>
          <w:i w:val="false"/>
          <w:color w:val="000000"/>
          <w:sz w:val="22"/>
        </w:rPr>
        <w:t> </w:t>
      </w:r>
      <w:r>
        <w:rPr>
          <w:rFonts w:ascii="Times New Roman" w:hAnsi="Times New Roman"/>
          <w:b w:val="false"/>
          <w:i w:val="false"/>
          <w:color w:val="000000"/>
          <w:sz w:val="22"/>
        </w:rPr>
        <w:t>Submit a completed reactivation application and pay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speech pathology and audiology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been most recently licensed and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26 hours of continuing education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been most recently licensed and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52 hours of continuing education within two years of application for reactivation or 26 hours of continuing education within two years of application for reactivation and verification of active practice, consisting of a minimum of 2,080 hours, in another state or jurisdiction during the two years preceding an application for reactivation;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passing the Praxis Examination in speech pathology or audiology within the last two years prior to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740.10(3)</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inactive for two or more years and the licensee cannot provide verification of active practice, consisting of a minimum of 2,080 hours, in another state or jurisdiction during the two years preceding an application for reactivation, the licensee must submit required waivers and fingerprints pursuant to the board-approved process to facilitate a national criminal history background check. The cost for the evaluation of the fingerprint packet and the DCI and the FBI criminal history background checks will be assessed to the applicant. The board may withhold issuing a license pending receipt of a report from the DCI and the FBI.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0596D</w:t>
      </w:r>
      <w:r>
        <w:rPr>
          <w:rFonts w:ascii="Times New Roman" w:hAnsi="Times New Roman"/>
          <w:b w:val="false"/>
          <w:i w:val="false"/>
          <w:color w:val="000000"/>
          <w:sz w:val="16"/>
        </w:rPr>
        <w:t>, IAB 9/16/26,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481—740.11</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speech pathology and audiology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0596D</w:t>
      </w:r>
      <w:r>
        <w:rPr>
          <w:rFonts w:ascii="Times New Roman" w:hAnsi="Times New Roman"/>
          <w:b w:val="false"/>
          <w:i w:val="false"/>
          <w:color w:val="000000"/>
          <w:sz w:val="16"/>
        </w:rPr>
        <w:t>, IAB 9/16/26,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2/2/77, Notice 12/29/76—published 2/23/77, effective 3/30/77]</w:t>
      </w:r>
    </w:p>
    <w:p>
      <w:pPr>
        <w:spacing w:before="0" w:after="0"/>
        <w:ind w:left="120"/>
        <w:jc w:val="center"/>
      </w:pPr>
      <w:r>
        <w:rPr>
          <w:rFonts w:ascii="Times New Roman" w:hAnsi="Times New Roman"/>
          <w:b w:val="false"/>
          <w:i w:val="false"/>
          <w:color w:val="000000"/>
          <w:sz w:val="21"/>
        </w:rPr>
        <w:t>[Filed emergency 8/14/81—published 9/2/81, effective 8/14/81]</w:t>
      </w:r>
    </w:p>
    <w:p>
      <w:pPr>
        <w:spacing w:before="0" w:after="0"/>
        <w:ind w:left="120"/>
        <w:jc w:val="center"/>
      </w:pPr>
      <w:r>
        <w:rPr>
          <w:rFonts w:ascii="Times New Roman" w:hAnsi="Times New Roman"/>
          <w:b w:val="false"/>
          <w:i w:val="false"/>
          <w:color w:val="000000"/>
          <w:sz w:val="21"/>
        </w:rPr>
        <w:t>[Filed 8/28/81, Notice 3/4/81—published 9/16/81, effective 10/21/81]</w:t>
      </w:r>
    </w:p>
    <w:p>
      <w:pPr>
        <w:spacing w:before="0" w:after="0"/>
        <w:ind w:left="120"/>
        <w:jc w:val="center"/>
      </w:pPr>
      <w:r>
        <w:rPr>
          <w:rFonts w:ascii="Times New Roman" w:hAnsi="Times New Roman"/>
          <w:b w:val="false"/>
          <w:i w:val="false"/>
          <w:color w:val="000000"/>
          <w:sz w:val="21"/>
        </w:rPr>
        <w:t>[Filed 10/22/82, Notice 8/18/82—published 11/10/82, effective 12/17/82]</w:t>
      </w:r>
    </w:p>
    <w:p>
      <w:pPr>
        <w:spacing w:before="0" w:after="0"/>
        <w:ind w:left="120"/>
        <w:jc w:val="center"/>
      </w:pPr>
      <w:r>
        <w:rPr>
          <w:rFonts w:ascii="Times New Roman" w:hAnsi="Times New Roman"/>
          <w:b w:val="false"/>
          <w:i w:val="false"/>
          <w:color w:val="000000"/>
          <w:sz w:val="21"/>
        </w:rPr>
        <w:t>[Filed 1/14/83, Notice 11/24/82—published 2/2/83, effective 3/11/83]</w:t>
      </w:r>
    </w:p>
    <w:p>
      <w:pPr>
        <w:spacing w:before="0" w:after="0"/>
        <w:ind w:left="120"/>
        <w:jc w:val="center"/>
      </w:pPr>
      <w:r>
        <w:rPr>
          <w:rFonts w:ascii="Times New Roman" w:hAnsi="Times New Roman"/>
          <w:b w:val="false"/>
          <w:i w:val="false"/>
          <w:color w:val="000000"/>
          <w:sz w:val="21"/>
        </w:rPr>
        <w:t>[Filed 6/15/83, Notice 4/13/83—published 7/6/83, effective 8/11/83]</w:t>
      </w:r>
    </w:p>
    <w:p>
      <w:pPr>
        <w:spacing w:before="0" w:after="0"/>
        <w:ind w:left="120"/>
        <w:jc w:val="center"/>
      </w:pPr>
      <w:r>
        <w:rPr>
          <w:rFonts w:ascii="Times New Roman" w:hAnsi="Times New Roman"/>
          <w:b w:val="false"/>
          <w:i w:val="false"/>
          <w:color w:val="000000"/>
          <w:sz w:val="21"/>
        </w:rPr>
        <w:t>[Filed emergency 11/1/83 after Notice 9/14/83—published 11/23/83, effective 11/1/83]</w:t>
      </w:r>
    </w:p>
    <w:p>
      <w:pPr>
        <w:spacing w:before="0" w:after="0"/>
        <w:ind w:left="120"/>
        <w:jc w:val="center"/>
      </w:pPr>
      <w:r>
        <w:rPr>
          <w:rFonts w:ascii="Times New Roman" w:hAnsi="Times New Roman"/>
          <w:b w:val="false"/>
          <w:i w:val="false"/>
          <w:color w:val="000000"/>
          <w:sz w:val="21"/>
        </w:rPr>
        <w:t>[Filed 1/21/85, Notice 11/21/84—published 2/13/85, effective 3/20/85]</w:t>
      </w:r>
    </w:p>
    <w:p>
      <w:pPr>
        <w:spacing w:before="0" w:after="0"/>
        <w:ind w:left="120"/>
        <w:jc w:val="center"/>
      </w:pPr>
      <w:r>
        <w:rPr>
          <w:rFonts w:ascii="Times New Roman" w:hAnsi="Times New Roman"/>
          <w:b w:val="false"/>
          <w:i w:val="false"/>
          <w:color w:val="000000"/>
          <w:sz w:val="21"/>
        </w:rPr>
        <w:t>[Filed 6/18/86, Notice 4/9/86—published 7/16/86, effective 8/20/86]</w:t>
      </w:r>
    </w:p>
    <w:p>
      <w:pPr>
        <w:spacing w:before="0" w:after="0"/>
        <w:ind w:left="120"/>
        <w:jc w:val="center"/>
      </w:pPr>
      <w:r>
        <w:rPr>
          <w:rFonts w:ascii="Times New Roman" w:hAnsi="Times New Roman"/>
          <w:b w:val="false"/>
          <w:i w:val="false"/>
          <w:color w:val="000000"/>
          <w:sz w:val="21"/>
        </w:rPr>
        <w:t>[Filed 7/29/88, Notice 3/23/88—published 8/24/88, effective 9/28/88]</w:t>
      </w:r>
    </w:p>
    <w:p>
      <w:pPr>
        <w:spacing w:before="0" w:after="0"/>
        <w:ind w:left="120"/>
        <w:jc w:val="center"/>
      </w:pPr>
      <w:r>
        <w:rPr>
          <w:rFonts w:ascii="Times New Roman" w:hAnsi="Times New Roman"/>
          <w:b w:val="false"/>
          <w:i w:val="false"/>
          <w:color w:val="000000"/>
          <w:sz w:val="21"/>
        </w:rPr>
        <w:t>[Filed 7/29/88, Notice 5/4/88—published 8/24/88, effective 9/28/88]</w:t>
      </w:r>
    </w:p>
    <w:p>
      <w:pPr>
        <w:spacing w:before="0" w:after="0"/>
        <w:ind w:left="120"/>
        <w:jc w:val="center"/>
      </w:pPr>
      <w:r>
        <w:rPr>
          <w:rFonts w:ascii="Times New Roman" w:hAnsi="Times New Roman"/>
          <w:b w:val="false"/>
          <w:i w:val="false"/>
          <w:color w:val="000000"/>
          <w:sz w:val="21"/>
        </w:rPr>
        <w:t>[Filed 6/9/89, Notice 2/8/89—published 6/28/89, effective 8/2/89]</w:t>
      </w:r>
    </w:p>
    <w:p>
      <w:pPr>
        <w:spacing w:before="0" w:after="0"/>
        <w:ind w:left="120"/>
        <w:jc w:val="center"/>
      </w:pPr>
      <w:r>
        <w:rPr>
          <w:rFonts w:ascii="Times New Roman" w:hAnsi="Times New Roman"/>
          <w:b w:val="false"/>
          <w:i w:val="false"/>
          <w:color w:val="000000"/>
          <w:sz w:val="21"/>
        </w:rPr>
        <w:t>[Filed 4/12/91, Notice 1/9/91—published 5/1/91, effective 6/5/91]</w:t>
      </w:r>
    </w:p>
    <w:p>
      <w:pPr>
        <w:spacing w:before="0" w:after="0"/>
        <w:ind w:left="120"/>
        <w:jc w:val="center"/>
      </w:pPr>
      <w:r>
        <w:rPr>
          <w:rFonts w:ascii="Times New Roman" w:hAnsi="Times New Roman"/>
          <w:b w:val="false"/>
          <w:i w:val="false"/>
          <w:color w:val="000000"/>
          <w:sz w:val="21"/>
        </w:rPr>
        <w:t>[Filed 8/1/91, Notice 5/1/91—published 8/21/91, effective 9/25/91]</w:t>
      </w:r>
    </w:p>
    <w:p>
      <w:pPr>
        <w:spacing w:before="0" w:after="0"/>
        <w:ind w:left="120"/>
        <w:jc w:val="center"/>
      </w:pPr>
      <w:r>
        <w:rPr>
          <w:rFonts w:ascii="Times New Roman" w:hAnsi="Times New Roman"/>
          <w:b w:val="false"/>
          <w:i w:val="false"/>
          <w:color w:val="000000"/>
          <w:sz w:val="21"/>
        </w:rPr>
        <w:t>[Filed 11/22/91, Notice 8/21/91—published 12/11/91, effective 1/15/92]</w:t>
      </w:r>
    </w:p>
    <w:p>
      <w:pPr>
        <w:spacing w:before="0" w:after="0"/>
        <w:ind w:left="120"/>
        <w:jc w:val="center"/>
      </w:pPr>
      <w:r>
        <w:rPr>
          <w:rFonts w:ascii="Times New Roman" w:hAnsi="Times New Roman"/>
          <w:b w:val="false"/>
          <w:i w:val="false"/>
          <w:color w:val="000000"/>
          <w:sz w:val="21"/>
        </w:rPr>
        <w:t>[Filed 1/29/93, Notice 9/30/92—published 2/17/93, effective 4/1/93]</w:t>
      </w:r>
    </w:p>
    <w:p>
      <w:pPr>
        <w:spacing w:before="0" w:after="0"/>
        <w:ind w:left="120"/>
        <w:jc w:val="center"/>
      </w:pPr>
      <w:r>
        <w:rPr>
          <w:rFonts w:ascii="Times New Roman" w:hAnsi="Times New Roman"/>
          <w:b w:val="false"/>
          <w:i w:val="false"/>
          <w:color w:val="000000"/>
          <w:sz w:val="21"/>
        </w:rPr>
        <w:t>[Filed 2/23/94, Notice 12/8/93—published 3/16/94, effective 4/22/94]</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2/15/00, Notice 12/15/99—published 3/8/00, effective 4/12/00]</w:t>
      </w:r>
    </w:p>
    <w:p>
      <w:pPr>
        <w:spacing w:before="0" w:after="0"/>
        <w:ind w:left="120"/>
        <w:jc w:val="center"/>
      </w:pPr>
      <w:r>
        <w:rPr>
          <w:rFonts w:ascii="Times New Roman" w:hAnsi="Times New Roman"/>
          <w:b w:val="false"/>
          <w:i w:val="false"/>
          <w:color w:val="000000"/>
          <w:sz w:val="21"/>
        </w:rPr>
        <w:t>[Filed 11/9/00, Notice 9/20/00—published 11/29/00, effective 1/3/01]</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5/9/02, Notice 4/3/02—published 5/29/02, effective 7/3/02]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2/27/04, Notice 12/10/03—published 3/17/04, effective 4/21/04]</w:t>
      </w:r>
    </w:p>
    <w:p>
      <w:pPr>
        <w:spacing w:before="0" w:after="0"/>
        <w:ind w:left="120"/>
        <w:jc w:val="center"/>
      </w:pPr>
      <w:r>
        <w:rPr>
          <w:rFonts w:ascii="Times New Roman" w:hAnsi="Times New Roman"/>
          <w:b w:val="false"/>
          <w:i w:val="false"/>
          <w:color w:val="000000"/>
          <w:sz w:val="21"/>
        </w:rPr>
        <w:t>[Filed 8/22/05, Notice 6/8/05—published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8872B</w:t>
      </w:r>
      <w:r>
        <w:rPr>
          <w:rFonts w:ascii="Times New Roman" w:hAnsi="Times New Roman"/>
          <w:b w:val="false"/>
          <w:i w:val="false"/>
          <w:color w:val="000000"/>
          <w:sz w:val="21"/>
        </w:rPr>
        <w:t xml:space="preserve"> (Notice ARC 8639B, IAB 4/7/10)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9947B</w:t>
      </w:r>
      <w:r>
        <w:rPr>
          <w:rFonts w:ascii="Times New Roman" w:hAnsi="Times New Roman"/>
          <w:b w:val="false"/>
          <w:i w:val="false"/>
          <w:color w:val="000000"/>
          <w:sz w:val="21"/>
        </w:rPr>
        <w:t xml:space="preserve"> (Notice ARC 9767B, IAB 10/5/11)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1397C</w:t>
      </w:r>
      <w:r>
        <w:rPr>
          <w:rFonts w:ascii="Times New Roman" w:hAnsi="Times New Roman"/>
          <w:b w:val="false"/>
          <w:i w:val="false"/>
          <w:color w:val="000000"/>
          <w:sz w:val="21"/>
        </w:rPr>
        <w:t xml:space="preserve"> (Notice ARC 1314C, IAB 2/5/14)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3591C</w:t>
      </w:r>
      <w:r>
        <w:rPr>
          <w:rFonts w:ascii="Times New Roman" w:hAnsi="Times New Roman"/>
          <w:b w:val="false"/>
          <w:i w:val="false"/>
          <w:color w:val="000000"/>
          <w:sz w:val="21"/>
        </w:rPr>
        <w:t xml:space="preserve"> (Notice ARC 3410C, IAB 10/25/17)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4214C</w:t>
      </w:r>
      <w:r>
        <w:rPr>
          <w:rFonts w:ascii="Times New Roman" w:hAnsi="Times New Roman"/>
          <w:b w:val="false"/>
          <w:i w:val="false"/>
          <w:color w:val="000000"/>
          <w:sz w:val="21"/>
        </w:rPr>
        <w:t xml:space="preserve"> (Notice ARC 4035C, IAB 9/26/18)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5161C</w:t>
      </w:r>
      <w:r>
        <w:rPr>
          <w:rFonts w:ascii="Times New Roman" w:hAnsi="Times New Roman"/>
          <w:b w:val="false"/>
          <w:i w:val="false"/>
          <w:color w:val="000000"/>
          <w:sz w:val="21"/>
        </w:rPr>
        <w:t xml:space="preserve"> (Notice ARC 4913C, IAB 2/12/20)</w:t>
      </w:r>
      <w:r>
        <w:rPr>
          <w:rFonts w:ascii="Times New Roman" w:hAnsi="Times New Roman"/>
          <w:b w:val="false"/>
          <w:i w:val="false"/>
          <w:color w:val="000000"/>
          <w:sz w:val="21"/>
        </w:rPr>
        <w:t>, IAB 8/26/20, effective 10/1/20]</w:t>
      </w:r>
    </w:p>
    <w:p>
      <w:pPr>
        <w:spacing w:before="0" w:after="0"/>
        <w:ind w:left="120"/>
        <w:jc w:val="center"/>
      </w:pPr>
      <w:r>
        <w:rPr>
          <w:rFonts w:ascii="Times New Roman" w:hAnsi="Times New Roman"/>
          <w:b w:val="false"/>
          <w:i w:val="false"/>
          <w:color w:val="000000"/>
          <w:sz w:val="21"/>
        </w:rPr>
        <w:t>[Filed ARC 5757C</w:t>
      </w:r>
      <w:r>
        <w:rPr>
          <w:rFonts w:ascii="Times New Roman" w:hAnsi="Times New Roman"/>
          <w:b w:val="false"/>
          <w:i w:val="false"/>
          <w:color w:val="000000"/>
          <w:sz w:val="21"/>
        </w:rPr>
        <w:t xml:space="preserve"> (Notice ARC 5457C,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6999C</w:t>
      </w:r>
      <w:r>
        <w:rPr>
          <w:rFonts w:ascii="Times New Roman" w:hAnsi="Times New Roman"/>
          <w:b w:val="false"/>
          <w:i w:val="false"/>
          <w:color w:val="000000"/>
          <w:sz w:val="21"/>
        </w:rPr>
        <w:t xml:space="preserve"> (Notice ARC 6658C,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7825C</w:t>
      </w:r>
      <w:r>
        <w:rPr>
          <w:rFonts w:ascii="Times New Roman" w:hAnsi="Times New Roman"/>
          <w:b w:val="false"/>
          <w:i w:val="false"/>
          <w:color w:val="000000"/>
          <w:sz w:val="21"/>
        </w:rPr>
        <w:t xml:space="preserve"> (Notice ARC 7468C,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0596D</w:t>
      </w:r>
      <w:r>
        <w:rPr>
          <w:rFonts w:ascii="Times New Roman" w:hAnsi="Times New Roman"/>
          <w:b w:val="false"/>
          <w:i w:val="false"/>
          <w:color w:val="000000"/>
          <w:sz w:val="21"/>
        </w:rPr>
        <w:t xml:space="preserve"> (Notice ARC 0324D, IAB 5/27/26)</w:t>
      </w:r>
      <w:r>
        <w:rPr>
          <w:rFonts w:ascii="Times New Roman" w:hAnsi="Times New Roman"/>
          <w:b w:val="false"/>
          <w:i w:val="false"/>
          <w:color w:val="000000"/>
          <w:sz w:val="21"/>
        </w:rPr>
        <w:t>, IAB 9/16/26, effective 7/1/27]</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2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740.10.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481.507.20.pdf" Type="http://schemas.openxmlformats.org/officeDocument/2006/relationships/hyperlink" Id="rId7"/>
    <Relationship TargetMode="External" Target="https://www.legis.iowa.gov/docs/iac/rule/481.740.2.pdf" Type="http://schemas.openxmlformats.org/officeDocument/2006/relationships/hyperlink" Id="rId8"/>
    <Relationship TargetMode="External" Target="https://www.legis.iowa.gov/docs/iac/rule/481.501.2.pdf" Type="http://schemas.openxmlformats.org/officeDocument/2006/relationships/hyperlink" Id="rId9"/>
    <Relationship TargetMode="External" Target="https://www.legis.iowa.gov/docs/ico/chapter/147F.1.pdf" Type="http://schemas.openxmlformats.org/officeDocument/2006/relationships/hyperlink" Id="rId10"/>
    <Relationship TargetMode="External" Target="https://www.legis.iowa.gov/docs/iac/rule/481.740.8.pdf" Type="http://schemas.openxmlformats.org/officeDocument/2006/relationships/hyperlink" Id="rId11"/>
    <Relationship TargetMode="External" Target="https://www.legis.iowa.gov/docs/iac/chapter/481.741.pdf" Type="http://schemas.openxmlformats.org/officeDocument/2006/relationships/hyperlink" Id="rId12"/>
    <Relationship TargetMode="External" Target="https://www.legis.iowa.gov/docs/iac/chapter/481.743.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147F.pdf" Type="http://schemas.openxmlformats.org/officeDocument/2006/relationships/hyperlink" Id="rId15"/>
    <Relationship TargetMode="External" Target="https://www.legis.iowa.gov/docs/ico/chapter/154F.pdf" Type="http://schemas.openxmlformats.org/officeDocument/2006/relationships/hyperlink" Id="rId16"/>
    <Relationship TargetMode="External" Target="https://www.legis.iowa.gov/docs/ico/chapter/272C.pdf" Type="http://schemas.openxmlformats.org/officeDocument/2006/relationships/hyperlink" Id="rId17"/>
    <Relationship TargetMode="External" Target="https://www.legis.iowa.gov/docs/iac/chapter/481.503.pdf" Type="http://schemas.openxmlformats.org/officeDocument/2006/relationships/hyperlink" Id="rId18"/>
    <Relationship TargetMode="External" Target="https://www.legis.iowa.gov/docs/iac/chapter/481.504.pdf" Type="http://schemas.openxmlformats.org/officeDocument/2006/relationships/hyperlink" Id="rId19"/>
    <Relationship TargetMode="External" Target="https://www.legis.iowa.gov/docs/iac/chapter/481.506.pdf" Type="http://schemas.openxmlformats.org/officeDocument/2006/relationships/hyperlink" Id="rId20"/>
    <Relationship TargetMode="External" Target="https://www.legis.iowa.gov/docs/iac/rule/481.742.2.pdf" Type="http://schemas.openxmlformats.org/officeDocument/2006/relationships/hyperlink" Id="rId21"/>
    <Relationship TargetMode="External" Target="https://www.legis.iowa.gov/docs/iac/rule/481.507.20.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147.pdf" Type="http://schemas.openxmlformats.org/officeDocument/2006/relationships/hyperlink" Id="rId24"/>
    <Relationship TargetMode="External" Target="https://www.legis.iowa.gov/docs/ico/chapter/272C.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