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721</w:t>
      </w:r>
    </w:p>
    <w:p>
      <w:pPr>
        <w:spacing w:before="0" w:after="0"/>
        <w:ind w:left="120"/>
        <w:jc w:val="center"/>
      </w:pPr>
      <w:r>
        <w:rPr>
          <w:rFonts w:ascii="Times New Roman" w:hAnsi="Times New Roman"/>
          <w:b w:val="false"/>
          <w:i w:val="false"/>
          <w:color w:val="000000"/>
          <w:sz w:val="21"/>
        </w:rPr>
        <w:t>CONTINUING EDUCATION FOR RESPIRATORY CARE PRACTITIONERS AND POLYSOMNOGRAPHIC TECHNOLOGISTS</w:t>
      </w:r>
    </w:p>
    <w:p>
      <w:pPr>
        <w:spacing w:before="0" w:after="0"/>
        <w:ind w:left="120"/>
        <w:jc w:val="center"/>
      </w:pPr>
      <w:r>
        <w:rPr>
          <w:rFonts w:ascii="Times New Roman" w:hAnsi="Times New Roman"/>
          <w:b w:val="false"/>
          <w:i w:val="false"/>
          <w:color w:val="000000"/>
          <w:sz w:val="14"/>
        </w:rPr>
        <w:t>[Prior to 4/17/02, see 645—Chapter 261]</w:t>
      </w:r>
    </w:p>
    <w:p>
      <w:pPr>
        <w:spacing w:before="0" w:after="0"/>
        <w:ind w:left="120"/>
        <w:jc w:val="center"/>
      </w:pPr>
      <w:r>
        <w:rPr>
          <w:rFonts w:ascii="Times New Roman" w:hAnsi="Times New Roman"/>
          <w:b w:val="false"/>
          <w:i w:val="false"/>
          <w:color w:val="000000"/>
          <w:sz w:val="14"/>
        </w:rPr>
        <w:t>[Prior to 9/18/24, see Professional Licensure Division[645] Ch 262]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481—721.1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will extend for a two-year period beginning on April 1 of each even-numbered year and ending on March 31 of the next even-numbered year. Each biennium, the licensee will be required to complete continuing education that meets the requirements specified in rule </w:t>
      </w:r>
      <w:hyperlink r:id="rId5">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and polysomnography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polysomnographic technologist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 time from the initial licensing until the second license renewal may be used. For each subsequent license renewal, the new licensee will be required to complete continuing education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721.2(4)</w:t>
      </w:r>
      <w:r>
        <w:rPr>
          <w:rFonts w:ascii="Times New Roman" w:hAnsi="Times New Roman"/>
          <w:b w:val="false"/>
          <w:i w:val="false"/>
          <w:color w:val="000000"/>
          <w:sz w:val="22"/>
        </w:rPr>
        <w:t> </w:t>
      </w:r>
      <w:r>
        <w:rPr>
          <w:rFonts w:ascii="Times New Roman" w:hAnsi="Times New Roman"/>
          <w:b w:val="false"/>
          <w:i w:val="false"/>
          <w:color w:val="000000"/>
          <w:sz w:val="22"/>
        </w:rPr>
        <w:t>Up to 50 percent of continuing education hours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9556C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481—721.3</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Programs/activities of a clinical nature related to the practice of respiratory care or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presenters who will receive one hour of credit for each hour of presentation for the first offering of the continuing education program/activity.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 rules and is accompanied by an official transcript indicating successful completion of the course.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approved for continuing education credit on a one-time basis per biennium and require a certificate of attendance or verification:</w:t>
      </w:r>
    </w:p>
    <w:p>
      <w:pPr>
        <w:spacing w:before="0" w:after="0"/>
        <w:ind w:left="120"/>
        <w:jc w:val="both"/>
      </w:pPr>
      <w:r>
        <w:rPr>
          <w:rFonts w:ascii="Times New Roman" w:hAnsi="Times New Roman"/>
          <w:b w:val="false"/>
          <w:i w:val="false"/>
          <w:color w:val="000000"/>
          <w:sz w:val="22"/>
        </w:rPr>
        <w:t>CERTIFICATIONS</w:t>
      </w:r>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6395"/>
        <w:gridCol w:w="4795"/>
      </w:tblGrid>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Advanced Cardiac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12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Basic Cardiac Life Support—Instructor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Basic Cardiac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6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Neonatal Resuscitation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9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Pediatric Advanced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14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Mandatory Reporting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4 hours</w:t>
            </w:r>
          </w:p>
        </w:tc>
      </w:tr>
      <w:tr>
        <w:trPr>
          <w:trHeight w:val="495" w:hRule="atLeast"/>
        </w:trPr>
        <w:tc>
          <w:tcPr>
            <w:tcW w:w="63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Certified Pulmonary Function</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Technologist</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 hours</w:t>
            </w:r>
          </w:p>
        </w:tc>
      </w:tr>
      <w:tr>
        <w:trPr>
          <w:trHeight w:val="495" w:hRule="atLeast"/>
        </w:trPr>
        <w:tc>
          <w:tcPr>
            <w:tcW w:w="63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Registered Pulmonary Function</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Technologist</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12 hours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chapters </w:t>
      </w:r>
      <w:hyperlink r:id="rId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10/24/00—published 12/27/00, effective 1/31/01]</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9931B</w:t>
      </w:r>
      <w:r>
        <w:rPr>
          <w:rFonts w:ascii="Times New Roman" w:hAnsi="Times New Roman"/>
          <w:b w:val="false"/>
          <w:i w:val="false"/>
          <w:color w:val="000000"/>
          <w:sz w:val="21"/>
        </w:rPr>
        <w:t xml:space="preserve"> (Notice ARC 9780B, IAB 10/5/11)</w:t>
      </w:r>
      <w:r>
        <w:rPr>
          <w:rFonts w:ascii="Times New Roman" w:hAnsi="Times New Roman"/>
          <w:b w:val="false"/>
          <w:i w:val="false"/>
          <w:color w:val="000000"/>
          <w:sz w:val="21"/>
        </w:rPr>
        <w:t>, IAB 12/28/11, effective 2/1/12]</w:t>
      </w:r>
      <w:r>
        <w:br/>
      </w:r>
      <w:r>
        <w:rPr>
          <w:rFonts w:ascii="Times New Roman" w:hAnsi="Times New Roman"/>
          <w:b w:val="false"/>
          <w:i w:val="false"/>
          <w:color w:val="000000"/>
          <w:sz w:val="21"/>
        </w:rPr>
        <w:t>[Filed ARC 9932B</w:t>
      </w:r>
      <w:r>
        <w:rPr>
          <w:rFonts w:ascii="Times New Roman" w:hAnsi="Times New Roman"/>
          <w:b w:val="false"/>
          <w:i w:val="false"/>
          <w:color w:val="000000"/>
          <w:sz w:val="21"/>
        </w:rPr>
        <w:t xml:space="preserve"> (Notice ARC 9594B,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4515C</w:t>
      </w:r>
      <w:r>
        <w:rPr>
          <w:rFonts w:ascii="Times New Roman" w:hAnsi="Times New Roman"/>
          <w:b w:val="false"/>
          <w:i w:val="false"/>
          <w:color w:val="000000"/>
          <w:sz w:val="21"/>
        </w:rPr>
        <w:t xml:space="preserve"> (Notice ARC 4259C, IAB 1/30/19)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8074C</w:t>
      </w:r>
      <w:r>
        <w:rPr>
          <w:rFonts w:ascii="Times New Roman" w:hAnsi="Times New Roman"/>
          <w:b w:val="false"/>
          <w:i w:val="false"/>
          <w:color w:val="000000"/>
          <w:sz w:val="21"/>
        </w:rPr>
        <w:t xml:space="preserve"> (Notice ARC 7504C,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9556C</w:t>
      </w:r>
      <w:r>
        <w:rPr>
          <w:rFonts w:ascii="Times New Roman" w:hAnsi="Times New Roman"/>
          <w:b w:val="false"/>
          <w:i w:val="false"/>
          <w:color w:val="000000"/>
          <w:sz w:val="21"/>
        </w:rPr>
        <w:t xml:space="preserve"> (Notice ARC 9374C, IAB 6/25/25)</w:t>
      </w:r>
      <w:r>
        <w:rPr>
          <w:rFonts w:ascii="Times New Roman" w:hAnsi="Times New Roman"/>
          <w:b w:val="false"/>
          <w:i w:val="false"/>
          <w:color w:val="000000"/>
          <w:sz w:val="21"/>
        </w:rPr>
        <w:t>, IAB 9/17/25, effective 10/22/25]</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21.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G.pdf" Type="http://schemas.openxmlformats.org/officeDocument/2006/relationships/hyperlink" Id="rId7"/>
    <Relationship TargetMode="External" Target="https://www.legis.iowa.gov/docs/ico/chapter/152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