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RESPIRATORY CARE AND POLYSOMNOGRAPHY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720</w:t>
      </w:r>
    </w:p>
    <w:p>
      <w:pPr>
        <w:spacing w:before="0" w:after="0"/>
        <w:ind w:left="120"/>
        <w:jc w:val="center"/>
      </w:pPr>
      <w:r>
        <w:rPr>
          <w:rFonts w:ascii="Times New Roman" w:hAnsi="Times New Roman"/>
          <w:b w:val="false"/>
          <w:i w:val="false"/>
          <w:color w:val="000000"/>
          <w:sz w:val="21"/>
        </w:rPr>
        <w:t>LICENSURE OF RESPIRATORY CARE PRACTITIONERS, POLYSOMNOGRAPHIC TECHNOLOGISTS, AND RESPIRATORY CARE AND POLYSOMNOGRAPHY PRACTITIONERS</w:t>
      </w:r>
    </w:p>
    <w:p>
      <w:pPr>
        <w:spacing w:before="0" w:after="0"/>
        <w:ind w:left="120"/>
        <w:jc w:val="center"/>
      </w:pPr>
      <w:r>
        <w:rPr>
          <w:rFonts w:ascii="Times New Roman" w:hAnsi="Times New Roman"/>
          <w:b w:val="false"/>
          <w:i w:val="false"/>
          <w:color w:val="000000"/>
          <w:sz w:val="14"/>
        </w:rPr>
        <w:t>[Prior to 4/17/02, see 645—Chapter 260]</w:t>
      </w:r>
    </w:p>
    <w:p>
      <w:pPr>
        <w:spacing w:before="0" w:after="0"/>
        <w:ind w:left="120"/>
        <w:jc w:val="center"/>
      </w:pPr>
      <w:r>
        <w:rPr>
          <w:rFonts w:ascii="Times New Roman" w:hAnsi="Times New Roman"/>
          <w:b w:val="false"/>
          <w:i w:val="false"/>
          <w:color w:val="000000"/>
          <w:sz w:val="14"/>
        </w:rPr>
        <w:t>[Prior to 9/18/24, see Professional Licensure Division[645] Ch 261]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481—720.1</w:t>
      </w:r>
      <w:r>
        <w:rPr>
          <w:rFonts w:ascii="Times New Roman" w:hAnsi="Times New Roman"/>
          <w:b/>
          <w:i w:val="false"/>
          <w:color w:val="000000"/>
          <w:sz w:val="22"/>
        </w:rPr>
        <w:t xml:space="preserve">(148G,152B)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respiratory care and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“BRPT” </w:t>
      </w:r>
      <w:r>
        <w:rPr>
          <w:rFonts w:ascii="Times New Roman" w:hAnsi="Times New Roman"/>
          <w:b w:val="false"/>
          <w:i w:val="false"/>
          <w:color w:val="000000"/>
          <w:sz w:val="22"/>
        </w:rPr>
        <w:t>means the Board of Registered Polysomnographic Technologists.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“CAAHEP” </w:t>
      </w:r>
      <w:r>
        <w:rPr>
          <w:rFonts w:ascii="Times New Roman" w:hAnsi="Times New Roman"/>
          <w:b w:val="false"/>
          <w:i w:val="false"/>
          <w:color w:val="000000"/>
          <w:sz w:val="22"/>
        </w:rPr>
        <w:t>means the Commission on Accreditation of Allied Health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“CoARC” </w:t>
      </w:r>
      <w:r>
        <w:rPr>
          <w:rFonts w:ascii="Times New Roman" w:hAnsi="Times New Roman"/>
          <w:b w:val="false"/>
          <w:i w:val="false"/>
          <w:color w:val="000000"/>
          <w:sz w:val="22"/>
        </w:rPr>
        <w:t>means the Commission on Accreditation for Respiratory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respiratory care practitioner, polysomnographic technologist, or respiratory care and polysomnography practitioner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March 31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“NBRC” </w:t>
      </w:r>
      <w:r>
        <w:rPr>
          <w:rFonts w:ascii="Times New Roman" w:hAnsi="Times New Roman"/>
          <w:b w:val="false"/>
          <w:i w:val="false"/>
          <w:color w:val="000000"/>
          <w:sz w:val="22"/>
        </w:rPr>
        <w:t>means the National Board for Respiratory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“Polysomnographic technologist” </w:t>
      </w:r>
      <w:r>
        <w:rPr>
          <w:rFonts w:ascii="Times New Roman" w:hAnsi="Times New Roman"/>
          <w:b w:val="false"/>
          <w:i w:val="false"/>
          <w:color w:val="000000"/>
          <w:sz w:val="22"/>
        </w:rPr>
        <w:t>means a person licensed by the board to engage in the practice of polysomnography under the general supervision of a physician or a qualified health care professional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481—720.14</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as a respiratory care practitioner, polysomnographic technologist, or respiratory care and polysomnography practitioner to an applicant who is currently licensed in another state that has a mutual agreement with the Iowa board of respiratory care and polysomnography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481—720.2</w:t>
      </w:r>
      <w:r>
        <w:rPr>
          <w:rFonts w:ascii="Times New Roman" w:hAnsi="Times New Roman"/>
          <w:b/>
          <w:i w:val="false"/>
          <w:color w:val="000000"/>
          <w:sz w:val="22"/>
        </w:rPr>
        <w:t xml:space="preserve">(148G,152B) </w:t>
      </w:r>
      <w:r>
        <w:rPr>
          <w:rFonts w:ascii="Times New Roman" w:hAnsi="Times New Roman"/>
          <w:b/>
          <w:i w:val="false"/>
          <w:color w:val="000000"/>
          <w:sz w:val="22"/>
        </w:rPr>
        <w:t xml:space="preserve">General requirements for licensure. </w:t>
      </w:r>
      <w:r>
        <w:rPr>
          <w:rFonts w:ascii="Times New Roman" w:hAnsi="Times New Roman"/>
          <w:b w:val="false"/>
          <w:i w:val="false"/>
          <w:color w:val="000000"/>
          <w:sz w:val="22"/>
        </w:rPr>
        <w:t>The following general criteria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submit a completed online application for licensure and pay the nonrefundable licensure fee specified in rule </w:t>
      </w:r>
      <w:hyperlink r:id="rId7">
        <w:r>
          <w:rPr>
            <w:rStyle w:val="Hyperlink"/>
            <w:rFonts w:ascii="Times New Roman" w:hAnsi="Times New Roman"/>
            <w:b w:val="false"/>
            <w:i w:val="false"/>
            <w:color w:val="000000"/>
            <w:sz w:val="22"/>
          </w:rPr>
          <w:t>481—507.17</w:t>
        </w:r>
      </w:hyperlink>
      <w:r>
        <w:rPr>
          <w:rFonts w:ascii="Times New Roman" w:hAnsi="Times New Roman"/>
          <w:b w:val="false"/>
          <w:i w:val="false"/>
          <w:color w:val="000000"/>
          <w:sz w:val="22"/>
        </w:rPr>
        <w:t>(147,152B). The applicant must submit two completed sets of fingerprint cards to facilitate a national criminal history background check. The cost for the evaluation of the fingerprint cards and the criminal history background checks by the Iowa division of criminal investigation (DCI) and the Federal Bureau of Investigation (FBI) criminal history background checks is assessed to the applicant. The board may withhold issuing a license pending receipt of a report from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 release authorizing the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do not need to renew their licenses until the renewal month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respiratory care practitioner, polysomnographic technologist, or respiratory care and polysomnography practitioner under the laws of another jurisdiction shall provide verification of license from the jurisdiction in which the applicant has most recently been licensed. Verification shall be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720.2(2)</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 considered invalid and destroyed.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481—720.3</w:t>
      </w:r>
      <w:r>
        <w:rPr>
          <w:rFonts w:ascii="Times New Roman" w:hAnsi="Times New Roman"/>
          <w:b/>
          <w:i w:val="false"/>
          <w:color w:val="000000"/>
          <w:sz w:val="22"/>
        </w:rPr>
        <w:t xml:space="preserve">(152B) </w:t>
      </w:r>
      <w:r>
        <w:rPr>
          <w:rFonts w:ascii="Times New Roman" w:hAnsi="Times New Roman"/>
          <w:b/>
          <w:i w:val="false"/>
          <w:color w:val="000000"/>
          <w:sz w:val="22"/>
        </w:rPr>
        <w:t xml:space="preserve">Additional requirements for respiratory care practitioner licensure. </w:t>
      </w:r>
      <w:r>
        <w:rPr>
          <w:rFonts w:ascii="Times New Roman" w:hAnsi="Times New Roman"/>
          <w:b w:val="false"/>
          <w:i w:val="false"/>
          <w:color w:val="000000"/>
          <w:sz w:val="22"/>
        </w:rPr>
        <w:t>The following are additional specific criteria for licensure as a respiratory care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720.3(1)</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respiratory care education program accredited by, or under a letter of review from, CoARC or CAAHEP.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720.3(2)</w:t>
      </w:r>
      <w:r>
        <w:rPr>
          <w:rFonts w:ascii="Times New Roman" w:hAnsi="Times New Roman"/>
          <w:b w:val="false"/>
          <w:i w:val="false"/>
          <w:color w:val="000000"/>
          <w:sz w:val="22"/>
        </w:rPr>
        <w:t> </w:t>
      </w:r>
      <w:r>
        <w:rPr>
          <w:rFonts w:ascii="Times New Roman" w:hAnsi="Times New Roman"/>
          <w:b w:val="false"/>
          <w:i w:val="false"/>
          <w:color w:val="000000"/>
          <w:sz w:val="22"/>
        </w:rPr>
        <w:t>Foreign-trained respiratory care practitioners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one of the following: International Education Research Foundation, Inc., Credentials Evaluation Service; or International Credentialing Associates,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professional curriculum must be equivalent to that stated in these rules. The candidate bears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respiratory care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720.3(3)</w:t>
      </w:r>
      <w:r>
        <w:rPr>
          <w:rFonts w:ascii="Times New Roman" w:hAnsi="Times New Roman"/>
          <w:b w:val="false"/>
          <w:i w:val="false"/>
          <w:color w:val="000000"/>
          <w:sz w:val="22"/>
        </w:rPr>
        <w:t> </w:t>
      </w:r>
      <w:r>
        <w:rPr>
          <w:rFonts w:ascii="Times New Roman" w:hAnsi="Times New Roman"/>
          <w:b w:val="false"/>
          <w:i w:val="false"/>
          <w:color w:val="000000"/>
          <w:sz w:val="22"/>
        </w:rPr>
        <w:t>The examination required by the board shall be the Therapist Multiple-Choice Examination or the Certified Respiratory Therapist Examination administered by the NBRC. A score on the examination that meets or exceeds the minimum passing score established by the NBRC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720.3(4)</w:t>
      </w:r>
      <w:r>
        <w:rPr>
          <w:rFonts w:ascii="Times New Roman" w:hAnsi="Times New Roman"/>
          <w:b w:val="false"/>
          <w:i w:val="false"/>
          <w:color w:val="000000"/>
          <w:sz w:val="22"/>
        </w:rPr>
        <w:t> </w:t>
      </w:r>
      <w:r>
        <w:rPr>
          <w:rFonts w:ascii="Times New Roman" w:hAnsi="Times New Roman"/>
          <w:b w:val="false"/>
          <w:i w:val="false"/>
          <w:color w:val="000000"/>
          <w:sz w:val="22"/>
        </w:rPr>
        <w:t>Results of the examination must be received by the board of respiratory care and polysomnography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Scores are sent directly from the examination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showing proof of the successful achievement of the certified respiratory therapist (CRT) or registered respiratory therapist (RRT) credential awarded by the NBRC is submitted to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score report or an electronic web-based confirmation by the NBRC showing proof of successful completion is submitted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481—720.4</w:t>
      </w:r>
      <w:r>
        <w:rPr>
          <w:rFonts w:ascii="Times New Roman" w:hAnsi="Times New Roman"/>
          <w:b/>
          <w:i w:val="false"/>
          <w:color w:val="000000"/>
          <w:sz w:val="22"/>
        </w:rPr>
        <w:t xml:space="preserve">(148G,152B) </w:t>
      </w:r>
      <w:r>
        <w:rPr>
          <w:rFonts w:ascii="Times New Roman" w:hAnsi="Times New Roman"/>
          <w:b/>
          <w:i w:val="false"/>
          <w:color w:val="000000"/>
          <w:sz w:val="22"/>
        </w:rPr>
        <w:t xml:space="preserve">Additional requirements for polysomnographic technologist licensure. </w:t>
      </w:r>
      <w:r>
        <w:rPr>
          <w:rFonts w:ascii="Times New Roman" w:hAnsi="Times New Roman"/>
          <w:b w:val="false"/>
          <w:i w:val="false"/>
          <w:color w:val="000000"/>
          <w:sz w:val="22"/>
        </w:rPr>
        <w:t>The following are additional specific criteria for licensure as a polysomnographic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720.4(1)</w:t>
      </w:r>
      <w:r>
        <w:rPr>
          <w:rFonts w:ascii="Times New Roman" w:hAnsi="Times New Roman"/>
          <w:b w:val="false"/>
          <w:i w:val="false"/>
          <w:color w:val="000000"/>
          <w:sz w:val="22"/>
        </w:rPr>
        <w:t> </w:t>
      </w:r>
      <w:r>
        <w:rPr>
          <w:rFonts w:ascii="Times New Roman" w:hAnsi="Times New Roman"/>
          <w:b w:val="false"/>
          <w:i w:val="false"/>
          <w:color w:val="000000"/>
          <w:sz w:val="22"/>
        </w:rPr>
        <w:t>Graduation from a polysomnographic educational program accredited by CAAHEP. A transcript shall be submitted to the board office directly from the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720.4(2)</w:t>
      </w:r>
      <w:r>
        <w:rPr>
          <w:rFonts w:ascii="Times New Roman" w:hAnsi="Times New Roman"/>
          <w:b w:val="false"/>
          <w:i w:val="false"/>
          <w:color w:val="000000"/>
          <w:sz w:val="22"/>
        </w:rPr>
        <w:t> </w:t>
      </w:r>
      <w:r>
        <w:rPr>
          <w:rFonts w:ascii="Times New Roman" w:hAnsi="Times New Roman"/>
          <w:b w:val="false"/>
          <w:i w:val="false"/>
          <w:color w:val="000000"/>
          <w:sz w:val="22"/>
        </w:rPr>
        <w:t>Graduation from an entry into respiratory care professional practice program accredited by CoARC or CAAHEP for which a transcript will be submitted to the board office directly from the college or university; and direct-source verification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a sleep specialist program option accredited by CoARC or CAAHEP,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Obtaining the sleep disorder specialist credential from the NBRC,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Obtaining the registered polysomnographic technologist credential from the BRPT;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720.4(3)</w:t>
      </w:r>
      <w:r>
        <w:rPr>
          <w:rFonts w:ascii="Times New Roman" w:hAnsi="Times New Roman"/>
          <w:b w:val="false"/>
          <w:i w:val="false"/>
          <w:color w:val="000000"/>
          <w:sz w:val="22"/>
        </w:rPr>
        <w:t> </w:t>
      </w:r>
      <w:r>
        <w:rPr>
          <w:rFonts w:ascii="Times New Roman" w:hAnsi="Times New Roman"/>
          <w:b w:val="false"/>
          <w:i w:val="false"/>
          <w:color w:val="000000"/>
          <w:sz w:val="22"/>
        </w:rPr>
        <w:t>Graduation from an electroneurodiagnostic technologist program with a polysomnographic technology track that is accredited by CAAHEP with the transcript sent directly to the board from the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720.4(4)</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current Iowa licensees holding a license in a profession other than polysomnography. An individual who holds an active license under Iowa Code section </w:t>
      </w:r>
      <w:hyperlink r:id="rId8">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in a profession other than polysomnography and whose license is in good standing with the board for that profession may receive licensure upon verification from the medical director of the individual’s current employer or the medical director’s designee that the individual has completed on-the-job training in the field of polysomnography and is competent to perform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720.4(5)</w:t>
      </w:r>
      <w:r>
        <w:rPr>
          <w:rFonts w:ascii="Times New Roman" w:hAnsi="Times New Roman"/>
          <w:b w:val="false"/>
          <w:i w:val="false"/>
          <w:color w:val="000000"/>
          <w:sz w:val="22"/>
        </w:rPr>
        <w:t> </w:t>
      </w:r>
      <w:r>
        <w:rPr>
          <w:rFonts w:ascii="Times New Roman" w:hAnsi="Times New Roman"/>
          <w:b w:val="false"/>
          <w:i w:val="false"/>
          <w:color w:val="000000"/>
          <w:sz w:val="22"/>
        </w:rPr>
        <w:t>Foreign-trained polysomnographic technologists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either International Education Research Foundation, Inc., Credentials Evaluation Service; or International Credentialing Associates,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candidate will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respiratory care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720.4(6)</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proof of work experience. An applicant who has relocated to Iowa from a state that did not require licensure to practice the profession may submit proof of work experience in lieu of educational and training requirements, if eligible, in accordance with rule </w:t>
      </w:r>
      <w:hyperlink r:id="rId9">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720.4(7)</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0">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481—720.5</w:t>
      </w:r>
      <w:r>
        <w:rPr>
          <w:rFonts w:ascii="Times New Roman" w:hAnsi="Times New Roman"/>
          <w:b/>
          <w:i w:val="false"/>
          <w:color w:val="000000"/>
          <w:sz w:val="22"/>
        </w:rPr>
        <w:t xml:space="preserve">(148G,152B) </w:t>
      </w:r>
      <w:r>
        <w:rPr>
          <w:rFonts w:ascii="Times New Roman" w:hAnsi="Times New Roman"/>
          <w:b/>
          <w:i w:val="false"/>
          <w:color w:val="000000"/>
          <w:sz w:val="22"/>
        </w:rPr>
        <w:t xml:space="preserve">Requirements for dual licensure. </w:t>
      </w:r>
      <w:r>
        <w:rPr>
          <w:rFonts w:ascii="Times New Roman" w:hAnsi="Times New Roman"/>
          <w:b w:val="false"/>
          <w:i w:val="false"/>
          <w:color w:val="000000"/>
          <w:sz w:val="22"/>
        </w:rPr>
        <w:t xml:space="preserve">The following are additional specific criteria for licensure as a respiratory care and polysomnography practitioner. An applicant for licensure as a respiratory care and polysomnography practitioner shall meet the requirements of </w:t>
      </w:r>
      <w:hyperlink r:id="rId11">
        <w:r>
          <w:rPr>
            <w:rStyle w:val="Hyperlink"/>
            <w:rFonts w:ascii="Times New Roman" w:hAnsi="Times New Roman"/>
            <w:b w:val="false"/>
            <w:i w:val="false"/>
            <w:color w:val="000000"/>
            <w:sz w:val="22"/>
          </w:rPr>
          <w:t>subrules 720.5(1)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720.5(2)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720.5(1)</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successfully completed a respiratory care education program accredited by, or under a letter of review from, CoARC or CAAHEP.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Foreign-trained practitioners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International Education Research Foundation, Inc., Credentials Evaluation Service; or International Credentialing Associates, Inc. The professional curriculum must be equivalent to that stated in these rules. The candidate will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the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 requirements. The examinations required by the board shall be the Therapist Multiple-Choice Examination administered by the NBRC and either the Sleep Disorders Specialist Examination (SDS) administered by the NBRC or the Registered Polysomnographic Technologist Examination administered by the BRPT. The minimum passing score established by the NBRC or BRPT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Results of the examination. Results of the examination must be received by the board of respiratory care and polysomnography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Scores are sent directly from the examination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showing proof of the successful achievement of the CRT or RRT credential awarded by the NBRC submitted to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score report or an electronic web-based confirmation by the NBRC showing proof of successful completion of the Therapist Multiple-Choice Examination, State Clinical Examination, or Certified Respiratory Therapist Examination administered by the NBRC submitted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720.5(2)</w:t>
      </w:r>
      <w:r>
        <w:rPr>
          <w:rFonts w:ascii="Times New Roman" w:hAnsi="Times New Roman"/>
          <w:b w:val="false"/>
          <w:i w:val="false"/>
          <w:color w:val="000000"/>
          <w:sz w:val="22"/>
        </w:rPr>
        <w:t> </w:t>
      </w:r>
      <w:r>
        <w:rPr>
          <w:rFonts w:ascii="Times New Roman" w:hAnsi="Times New Roman"/>
          <w:b w:val="false"/>
          <w:i w:val="false"/>
          <w:color w:val="000000"/>
          <w:sz w:val="22"/>
        </w:rPr>
        <w:t>The applicant must also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Graduation from a polysomnographic educational program accredited by CAAHEP, with the transcript sent directly from the college or university to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Completion of a sleep specialist program option accredited by CoARC or CAAHEP with the transcript submitted to the board office directly from the college or university; and direct-source verification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the curriculum for a polysomnographic certificate established and accredited by the CAAHEP as an extension of the respiratory care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the sleep disorder specialist credential from the NBRC,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the registered polysomnographic technologist credential from the BRPT;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Graduation from an electroneurodiagnostic technologist program with a polysomnographic technology track that is accredited by CAAHEP, with the transcript submitted to the board office directly from the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an active license under Iowa Code section </w:t>
      </w:r>
      <w:hyperlink r:id="rId12">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in a profession other than polysomnography that is in good standing with the board for that profession and provide verification from the medical director of the applicant’s current employer or the medical director’s designee that the applicant has completed on-the-job training in the field of polysomnography and is competent to perform polysomnography.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481—720.6</w:t>
      </w:r>
      <w:r>
        <w:rPr>
          <w:rFonts w:ascii="Times New Roman" w:hAnsi="Times New Roman"/>
          <w:b/>
          <w:i w:val="false"/>
          <w:color w:val="000000"/>
          <w:sz w:val="22"/>
        </w:rPr>
        <w:t xml:space="preserve">(148G,152B)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will begin on April 1 of an even-numbered year and end on March 31 of the next even-numbered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an initial license within six months of the license renewal date does not need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3">
        <w:r>
          <w:rPr>
            <w:rStyle w:val="Hyperlink"/>
            <w:rFonts w:ascii="Times New Roman" w:hAnsi="Times New Roman"/>
            <w:b w:val="false"/>
            <w:i w:val="false"/>
            <w:color w:val="000000"/>
            <w:sz w:val="22"/>
          </w:rPr>
          <w:t>481—721.2</w:t>
        </w:r>
      </w:hyperlink>
      <w:r>
        <w:rPr>
          <w:rFonts w:ascii="Times New Roman" w:hAnsi="Times New Roman"/>
          <w:b w:val="false"/>
          <w:i w:val="false"/>
          <w:color w:val="000000"/>
          <w:sz w:val="22"/>
        </w:rPr>
        <w:t xml:space="preserve">(148G,152B,272C) and the mandatory reporting requirements of </w:t>
      </w:r>
      <w:hyperlink r:id="rId14">
        <w:r>
          <w:rPr>
            <w:rStyle w:val="Hyperlink"/>
            <w:rFonts w:ascii="Times New Roman" w:hAnsi="Times New Roman"/>
            <w:b w:val="false"/>
            <w:i w:val="false"/>
            <w:color w:val="000000"/>
            <w:sz w:val="22"/>
          </w:rPr>
          <w:t>subrule 720.8(4)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will complete the applicable department of health and human services training relating to the identification and reporting of child and dependent adult abuse as required by Iowa Code section </w:t>
      </w:r>
      <w:hyperlink r:id="rId15">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will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16">
        <w:r>
          <w:rPr>
            <w:rStyle w:val="Hyperlink"/>
            <w:rFonts w:ascii="Times New Roman" w:hAnsi="Times New Roman"/>
            <w:b w:val="false"/>
            <w:i w:val="false"/>
            <w:color w:val="000000"/>
            <w:sz w:val="22"/>
          </w:rPr>
          <w:t>481—Chapter 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720.6(4)</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and the fee, a two-year license will be administratively issued. In the event the board receives adverse information on the renewal application, the renewal license will be issued but the board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rule </w:t>
      </w:r>
      <w:hyperlink r:id="rId17">
        <w:r>
          <w:rPr>
            <w:rStyle w:val="Hyperlink"/>
            <w:rFonts w:ascii="Times New Roman" w:hAnsi="Times New Roman"/>
            <w:b w:val="false"/>
            <w:i w:val="false"/>
            <w:color w:val="000000"/>
            <w:sz w:val="22"/>
          </w:rPr>
          <w:t>481—507.17</w:t>
        </w:r>
      </w:hyperlink>
      <w:r>
        <w:rPr>
          <w:rFonts w:ascii="Times New Roman" w:hAnsi="Times New Roman"/>
          <w:b w:val="false"/>
          <w:i w:val="false"/>
          <w:color w:val="000000"/>
          <w:sz w:val="22"/>
        </w:rPr>
        <w:t>(147,152B). Completion of renewal requirements and submission of the late fee within the grace period are needed to renew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 not renewed by the end of the grace period is inactive. A licensee whose license is inactive continues to hold the privilege of licensure in Iowa, but may not practice respiratory care in Iowa until the license is reactivated. A licensee who practices respiratory care in the state of Iowa with an inactive license may be subject to disciplinary action by the board, injunctive action pursuant to Iowa Code section </w:t>
      </w:r>
      <w:hyperlink r:id="rId18">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9">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reactivation application and pay the reactivation fee specified in rule </w:t>
      </w:r>
      <w:hyperlink r:id="rId20">
        <w:r>
          <w:rPr>
            <w:rStyle w:val="Hyperlink"/>
            <w:rFonts w:ascii="Times New Roman" w:hAnsi="Times New Roman"/>
            <w:b w:val="false"/>
            <w:i w:val="false"/>
            <w:color w:val="000000"/>
            <w:sz w:val="22"/>
          </w:rPr>
          <w:t>481—507.17</w:t>
        </w:r>
      </w:hyperlink>
      <w:r>
        <w:rPr>
          <w:rFonts w:ascii="Times New Roman" w:hAnsi="Times New Roman"/>
          <w:b w:val="false"/>
          <w:i w:val="false"/>
          <w:color w:val="000000"/>
          <w:sz w:val="22"/>
        </w:rPr>
        <w:t>(147,152B).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720.7(2)</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inactive for two or more years, submit two completed fingerprint cards to facilitate a national criminal history background check. The cost for the evaluation of the fingerprint packet and the DCI and FBI criminal history background checks will be assessed to the applicant. The board may withhold issuing a license pending receipt of a report from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continuing education that conforms to standards defined in rule </w:t>
      </w:r>
      <w:hyperlink r:id="rId21">
        <w:r>
          <w:rPr>
            <w:rStyle w:val="Hyperlink"/>
            <w:rFonts w:ascii="Times New Roman" w:hAnsi="Times New Roman"/>
            <w:b w:val="false"/>
            <w:i w:val="false"/>
            <w:color w:val="000000"/>
            <w:sz w:val="22"/>
          </w:rPr>
          <w:t>481—721.3</w:t>
        </w:r>
      </w:hyperlink>
      <w:r>
        <w:rPr>
          <w:rFonts w:ascii="Times New Roman" w:hAnsi="Times New Roman"/>
          <w:b w:val="false"/>
          <w:i w:val="false"/>
          <w:color w:val="000000"/>
          <w:sz w:val="22"/>
        </w:rPr>
        <w:t>(148G,152B,272C) within 24 months immediately preceding submission of the application for reactivation; or verification of active practice, consisting of a minimum of 2,080 hours, in another state or jurisdiction within 24 months immediately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respiratory care practitioners: 24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polysomnographic technologists: 24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respiratory care and polysomnography practitioners: 24 hours of continuing education, of which at least 8 hours but no more than 12 hours shall be on sleep-related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continuing education that conforms to standards defined in rule </w:t>
      </w:r>
      <w:hyperlink r:id="rId22">
        <w:r>
          <w:rPr>
            <w:rStyle w:val="Hyperlink"/>
            <w:rFonts w:ascii="Times New Roman" w:hAnsi="Times New Roman"/>
            <w:b w:val="false"/>
            <w:i w:val="false"/>
            <w:color w:val="000000"/>
            <w:sz w:val="22"/>
          </w:rPr>
          <w:t>481—721.3</w:t>
        </w:r>
      </w:hyperlink>
      <w:r>
        <w:rPr>
          <w:rFonts w:ascii="Times New Roman" w:hAnsi="Times New Roman"/>
          <w:b w:val="false"/>
          <w:i w:val="false"/>
          <w:color w:val="000000"/>
          <w:sz w:val="22"/>
        </w:rPr>
        <w:t>(148G,152B,272C) within 24 months immediately preceding submission of the application for reactivation; or verification of active practice, consisting of a minimum of 2,080 hours, in another state or jurisdiction within 24 months immediately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respiratory care practitioners: 48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polysomnographic technologists: 48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respiratory care and polysomnography practitioners: 48 hours of continuing education of which at least 16 hours but no more than 24 hours shall be on sleep-related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720.7(4)</w:t>
      </w:r>
      <w:r>
        <w:rPr>
          <w:rFonts w:ascii="Times New Roman" w:hAnsi="Times New Roman"/>
          <w:b w:val="false"/>
          <w:i w:val="false"/>
          <w:color w:val="000000"/>
          <w:sz w:val="22"/>
        </w:rPr>
        <w:t> </w:t>
      </w:r>
      <w:r>
        <w:rPr>
          <w:rFonts w:ascii="Times New Roman" w:hAnsi="Times New Roman"/>
          <w:b w:val="false"/>
          <w:i w:val="false"/>
          <w:color w:val="000000"/>
          <w:sz w:val="22"/>
        </w:rPr>
        <w:t>Submit a sworn statement of previous active practice from an employer or professional associate, detailing places and dates of employment and verifying that the applicant has practiced at least 2,080 hours or taught as the equivalent of a full-time faculty member for at least one of the immediately preceding years during the last two-year time period. Sole proprietors may submit the sworn statement on their own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3">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24">
        <w:r>
          <w:rPr>
            <w:rStyle w:val="Hyperlink"/>
            <w:rFonts w:ascii="Times New Roman" w:hAnsi="Times New Roman"/>
            <w:b w:val="false"/>
            <w:i w:val="false"/>
            <w:color w:val="000000"/>
            <w:sz w:val="22"/>
          </w:rPr>
          <w:t>481—720.14</w:t>
        </w:r>
      </w:hyperlink>
      <w:r>
        <w:rPr>
          <w:rFonts w:ascii="Times New Roman" w:hAnsi="Times New Roman"/>
          <w:b w:val="false"/>
          <w:i w:val="false"/>
          <w:color w:val="000000"/>
          <w:sz w:val="22"/>
        </w:rPr>
        <w:t>(17A,147,272C) prior to practicing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148G</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3/29/02, Notice 1/23/02—published 4/17/02, effective 5/22/02]</w:t>
      </w:r>
    </w:p>
    <w:p>
      <w:pPr>
        <w:spacing w:before="0" w:after="0"/>
        <w:ind w:left="120"/>
        <w:jc w:val="center"/>
      </w:pPr>
      <w:r>
        <w:rPr>
          <w:rFonts w:ascii="Times New Roman" w:hAnsi="Times New Roman"/>
          <w:b w:val="false"/>
          <w:i w:val="false"/>
          <w:color w:val="000000"/>
          <w:sz w:val="21"/>
        </w:rPr>
        <w:t>[Filed 1/14/04, Notice 10/15/03—published 2/4/04, effective 3/10/04]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5/12/05, Notice 3/16/05—published 6/8/05, effective 7/13/05]</w:t>
      </w:r>
    </w:p>
    <w:p>
      <w:pPr>
        <w:spacing w:before="0" w:after="0"/>
        <w:ind w:left="120"/>
        <w:jc w:val="center"/>
      </w:pPr>
      <w:r>
        <w:rPr>
          <w:rFonts w:ascii="Times New Roman" w:hAnsi="Times New Roman"/>
          <w:b w:val="false"/>
          <w:i w:val="false"/>
          <w:color w:val="000000"/>
          <w:sz w:val="21"/>
        </w:rPr>
        <w:t>[Filed 11/19/05, Notice 9/14/05—published 12/21/05, effective 1/25/06]</w:t>
      </w:r>
    </w:p>
    <w:p>
      <w:pPr>
        <w:spacing w:before="0" w:after="0"/>
        <w:ind w:left="120"/>
        <w:jc w:val="center"/>
      </w:pPr>
      <w:r>
        <w:rPr>
          <w:rFonts w:ascii="Times New Roman" w:hAnsi="Times New Roman"/>
          <w:b w:val="false"/>
          <w:i w:val="false"/>
          <w:color w:val="000000"/>
          <w:sz w:val="21"/>
        </w:rPr>
        <w:t>[Filed 7/23/07, Notice 5/23/07—published 8/15/07, effective 9/19/07]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8348B</w:t>
      </w:r>
      <w:r>
        <w:rPr>
          <w:rFonts w:ascii="Times New Roman" w:hAnsi="Times New Roman"/>
          <w:b w:val="false"/>
          <w:i w:val="false"/>
          <w:color w:val="000000"/>
          <w:sz w:val="21"/>
        </w:rPr>
        <w:t xml:space="preserve"> (Notice ARC 8100B, IAB 9/9/09)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9933B</w:t>
      </w:r>
      <w:r>
        <w:rPr>
          <w:rFonts w:ascii="Times New Roman" w:hAnsi="Times New Roman"/>
          <w:b w:val="false"/>
          <w:i w:val="false"/>
          <w:color w:val="000000"/>
          <w:sz w:val="21"/>
        </w:rPr>
        <w:t xml:space="preserve"> (Notice ARC 9595B, IAB 7/13/11)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2323C</w:t>
      </w:r>
      <w:r>
        <w:rPr>
          <w:rFonts w:ascii="Times New Roman" w:hAnsi="Times New Roman"/>
          <w:b w:val="false"/>
          <w:i w:val="false"/>
          <w:color w:val="000000"/>
          <w:sz w:val="21"/>
        </w:rPr>
        <w:t xml:space="preserve"> (Notice ARC 2224C,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3932C</w:t>
      </w:r>
      <w:r>
        <w:rPr>
          <w:rFonts w:ascii="Times New Roman" w:hAnsi="Times New Roman"/>
          <w:b w:val="false"/>
          <w:i w:val="false"/>
          <w:color w:val="000000"/>
          <w:sz w:val="21"/>
        </w:rPr>
        <w:t xml:space="preserve"> (Notice ARC 3617C, IAB 2/14/18)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5770C</w:t>
      </w:r>
      <w:r>
        <w:rPr>
          <w:rFonts w:ascii="Times New Roman" w:hAnsi="Times New Roman"/>
          <w:b w:val="false"/>
          <w:i w:val="false"/>
          <w:color w:val="000000"/>
          <w:sz w:val="21"/>
        </w:rPr>
        <w:t xml:space="preserve"> (Notice ARC 5446C,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6993C</w:t>
      </w:r>
      <w:r>
        <w:rPr>
          <w:rFonts w:ascii="Times New Roman" w:hAnsi="Times New Roman"/>
          <w:b w:val="false"/>
          <w:i w:val="false"/>
          <w:color w:val="000000"/>
          <w:sz w:val="21"/>
        </w:rPr>
        <w:t xml:space="preserve"> (Notice ARC 6654C,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8073C</w:t>
      </w:r>
      <w:r>
        <w:rPr>
          <w:rFonts w:ascii="Times New Roman" w:hAnsi="Times New Roman"/>
          <w:b w:val="false"/>
          <w:i w:val="false"/>
          <w:color w:val="000000"/>
          <w:sz w:val="21"/>
        </w:rPr>
        <w:t xml:space="preserve"> (Notice ARC 7503C,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20.14.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7.17.pdf" Type="http://schemas.openxmlformats.org/officeDocument/2006/relationships/hyperlink" Id="rId7"/>
    <Relationship TargetMode="External" Target="https://www.legis.iowa.gov/docs/ico/chapter/147.2.pdf" Type="http://schemas.openxmlformats.org/officeDocument/2006/relationships/hyperlink" Id="rId8"/>
    <Relationship TargetMode="External" Target="https://www.legis.iowa.gov/docs/iac/rule/481.501.2.pdf" Type="http://schemas.openxmlformats.org/officeDocument/2006/relationships/hyperlink" Id="rId9"/>
    <Relationship TargetMode="External" Target="https://www.legis.iowa.gov/docs/iac/rule/481.501.1.pdf" Type="http://schemas.openxmlformats.org/officeDocument/2006/relationships/hyperlink" Id="rId10"/>
    <Relationship TargetMode="External" Target="https://www.legis.iowa.gov/docs/iac/rule/645.261.5.pdf" Type="http://schemas.openxmlformats.org/officeDocument/2006/relationships/hyperlink" Id="rId11"/>
    <Relationship TargetMode="External" Target="https://www.legis.iowa.gov/docs/ico/chapter/147.2.pdf" Type="http://schemas.openxmlformats.org/officeDocument/2006/relationships/hyperlink" Id="rId12"/>
    <Relationship TargetMode="External" Target="https://www.legis.iowa.gov/docs/iac/rule/481.721.2.pdf" Type="http://schemas.openxmlformats.org/officeDocument/2006/relationships/hyperlink" Id="rId13"/>
    <Relationship TargetMode="External" Target="https://www.legis.iowa.gov/docs/iac/rule/645.261.8.pdf" Type="http://schemas.openxmlformats.org/officeDocument/2006/relationships/hyperlink" Id="rId14"/>
    <Relationship TargetMode="External" Target="https://www.legis.iowa.gov/docs/ico/chapter/232.69.pdf" Type="http://schemas.openxmlformats.org/officeDocument/2006/relationships/hyperlink" Id="rId15"/>
    <Relationship TargetMode="External" Target="https://www.legis.iowa.gov/docs/iac/chapter/481.721.pdf" Type="http://schemas.openxmlformats.org/officeDocument/2006/relationships/hyperlink" Id="rId16"/>
    <Relationship TargetMode="External" Target="https://www.legis.iowa.gov/docs/iac/rule/481.507.17.pdf" Type="http://schemas.openxmlformats.org/officeDocument/2006/relationships/hyperlink" Id="rId17"/>
    <Relationship TargetMode="External" Target="https://www.legis.iowa.gov/docs/ico/chapter/147.83.pdf" Type="http://schemas.openxmlformats.org/officeDocument/2006/relationships/hyperlink" Id="rId18"/>
    <Relationship TargetMode="External" Target="https://www.legis.iowa.gov/docs/ico/chapter/147.86.pdf" Type="http://schemas.openxmlformats.org/officeDocument/2006/relationships/hyperlink" Id="rId19"/>
    <Relationship TargetMode="External" Target="https://www.legis.iowa.gov/docs/iac/rule/481.507.17.pdf" Type="http://schemas.openxmlformats.org/officeDocument/2006/relationships/hyperlink" Id="rId20"/>
    <Relationship TargetMode="External" Target="https://www.legis.iowa.gov/docs/iac/rule/481.721.3.pdf" Type="http://schemas.openxmlformats.org/officeDocument/2006/relationships/hyperlink" Id="rId21"/>
    <Relationship TargetMode="External" Target="https://www.legis.iowa.gov/docs/iac/rule/481.721.3.pdf" Type="http://schemas.openxmlformats.org/officeDocument/2006/relationships/hyperlink" Id="rId22"/>
    <Relationship TargetMode="External" Target="https://www.legis.iowa.gov/docs/iac/rule/481.506.31.pdf" Type="http://schemas.openxmlformats.org/officeDocument/2006/relationships/hyperlink" Id="rId23"/>
    <Relationship TargetMode="External" Target="https://www.legis.iowa.gov/docs/iac/rule/481.720.14.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47.pdf" Type="http://schemas.openxmlformats.org/officeDocument/2006/relationships/hyperlink" Id="rId26"/>
    <Relationship TargetMode="External" Target="https://www.legis.iowa.gov/docs/ico/chapter/148G.pdf" Type="http://schemas.openxmlformats.org/officeDocument/2006/relationships/hyperlink" Id="rId27"/>
    <Relationship TargetMode="External" Target="https://www.legis.iowa.gov/docs/ico/chapter/152B.pdf" Type="http://schemas.openxmlformats.org/officeDocument/2006/relationships/hyperlink" Id="rId28"/>
    <Relationship TargetMode="External" Target="https://www.legis.iowa.gov/docs/ico/chapter/272C.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