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703</w:t>
      </w:r>
    </w:p>
    <w:p>
      <w:pPr>
        <w:spacing w:before="0" w:after="0"/>
        <w:ind w:left="120"/>
        <w:jc w:val="center"/>
      </w:pPr>
      <w:r>
        <w:rPr>
          <w:rFonts w:ascii="Times New Roman" w:hAnsi="Times New Roman"/>
          <w:b w:val="false"/>
          <w:i w:val="false"/>
          <w:color w:val="000000"/>
          <w:sz w:val="21"/>
        </w:rPr>
        <w:t>PRACTICE OF PODIATRY</w:t>
      </w:r>
    </w:p>
    <w:p>
      <w:pPr>
        <w:spacing w:before="0" w:after="0"/>
        <w:ind w:left="120"/>
        <w:jc w:val="center"/>
      </w:pPr>
      <w:r>
        <w:rPr>
          <w:rFonts w:ascii="Times New Roman" w:hAnsi="Times New Roman"/>
          <w:b w:val="false"/>
          <w:i w:val="false"/>
          <w:color w:val="000000"/>
          <w:sz w:val="14"/>
        </w:rPr>
        <w:t>[Prior to 8/7/02, see rules 645—219.3(514F), 645—219.4(139A)]</w:t>
      </w:r>
    </w:p>
    <w:p>
      <w:pPr>
        <w:spacing w:before="0" w:after="0"/>
        <w:ind w:left="120"/>
        <w:jc w:val="center"/>
      </w:pPr>
      <w:r>
        <w:rPr>
          <w:rFonts w:ascii="Times New Roman" w:hAnsi="Times New Roman"/>
          <w:b w:val="false"/>
          <w:i w:val="false"/>
          <w:color w:val="000000"/>
          <w:sz w:val="14"/>
        </w:rPr>
        <w:t>[Prior to 9/18/24, see Professional Licensure Division[645] Ch 223]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481—703.1</w:t>
      </w:r>
      <w:r>
        <w:rPr>
          <w:rFonts w:ascii="Times New Roman" w:hAnsi="Times New Roman"/>
          <w:b/>
          <w:i w:val="false"/>
          <w:color w:val="000000"/>
          <w:sz w:val="22"/>
        </w:rPr>
        <w:t xml:space="preserve">(149)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surgical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“ASC” </w:t>
      </w:r>
      <w:r>
        <w:rPr>
          <w:rFonts w:ascii="Times New Roman" w:hAnsi="Times New Roman"/>
          <w:b w:val="false"/>
          <w:i w:val="false"/>
          <w:color w:val="000000"/>
          <w:sz w:val="22"/>
        </w:rPr>
        <w:t>means an ambulatory surgical center that has in effect an agreement with the Centers for Medicare and Medicaid Services (CMS) of the U.S. Department of Health and Human Services, in accordance with 42 CFR Part 416 as amended to November 22,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“Conscious sedation” </w:t>
      </w:r>
      <w:r>
        <w:rPr>
          <w:rFonts w:ascii="Times New Roman" w:hAnsi="Times New Roman"/>
          <w:b w:val="false"/>
          <w:i w:val="false"/>
          <w:color w:val="000000"/>
          <w:sz w:val="22"/>
        </w:rPr>
        <w:t>means a depressed level of consciousness produced by the administration of pharmacological substances that retains the patient’s ability to independently and continuously maintain an airway and respond appropriately to physical stimulation or verbal command.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481—703.2</w:t>
      </w:r>
      <w:r>
        <w:rPr>
          <w:rFonts w:ascii="Times New Roman" w:hAnsi="Times New Roman"/>
          <w:b/>
          <w:i w:val="false"/>
          <w:color w:val="000000"/>
          <w:sz w:val="22"/>
        </w:rPr>
        <w:t xml:space="preserve">(149) </w:t>
      </w:r>
      <w:r>
        <w:rPr>
          <w:rFonts w:ascii="Times New Roman" w:hAnsi="Times New Roman"/>
          <w:b/>
          <w:i w:val="false"/>
          <w:color w:val="000000"/>
          <w:sz w:val="22"/>
        </w:rPr>
        <w:t xml:space="preserve">Requirements for administering conscious sedation. </w:t>
      </w:r>
      <w:r>
        <w:rPr>
          <w:rFonts w:ascii="Times New Roman" w:hAnsi="Times New Roman"/>
          <w:b w:val="false"/>
          <w:i w:val="false"/>
          <w:color w:val="000000"/>
          <w:sz w:val="22"/>
        </w:rPr>
        <w:t>A licensed podiatrist who holds a permanent license in good standing may use conscious sedation for podiatric patients on an outpatient basis in a hospital or ASC after the podiatrist has submitted to the board office an attestation on a form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703.2(1)</w:t>
      </w:r>
      <w:r>
        <w:rPr>
          <w:rFonts w:ascii="Times New Roman" w:hAnsi="Times New Roman"/>
          <w:b w:val="false"/>
          <w:i w:val="false"/>
          <w:color w:val="000000"/>
          <w:sz w:val="22"/>
        </w:rPr>
        <w:t> </w:t>
      </w:r>
      <w:r>
        <w:rPr>
          <w:rFonts w:ascii="Times New Roman" w:hAnsi="Times New Roman"/>
          <w:b w:val="false"/>
          <w:i w:val="false"/>
          <w:color w:val="000000"/>
          <w:sz w:val="22"/>
        </w:rPr>
        <w:t>The attestation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within the past five years of a formal anesthesiology rotation in a residency program approved by the Council on Podiatric Medical Education (CPME);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podiatrist who does not meet the requirements of paragraph </w:t>
      </w:r>
      <w:r>
        <w:rPr>
          <w:rFonts w:ascii="Times New Roman" w:hAnsi="Times New Roman"/>
          <w:b w:val="false"/>
          <w:i w:val="false"/>
          <w:color w:val="000000"/>
          <w:sz w:val="22"/>
        </w:rPr>
        <w:t>703.2(1)</w:t>
      </w:r>
      <w:r>
        <w:rPr>
          <w:rFonts w:ascii="Times New Roman" w:hAnsi="Times New Roman"/>
          <w:b w:val="false"/>
          <w:i/>
          <w:color w:val="000000"/>
          <w:sz w:val="22"/>
        </w:rPr>
        <w:t>“a,”</w:t>
      </w:r>
      <w:r>
        <w:rPr>
          <w:rFonts w:ascii="Times New Roman" w:hAnsi="Times New Roman"/>
          <w:b w:val="false"/>
          <w:i w:val="false"/>
          <w:color w:val="000000"/>
          <w:sz w:val="22"/>
        </w:rPr>
        <w:t xml:space="preserve"> an attestation with evidence that the podiatrist is authorized by the governing body of a hospital or ASC to use conscious sedation. This attestation must be received by the board prior to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703.2(2)</w:t>
      </w:r>
      <w:r>
        <w:rPr>
          <w:rFonts w:ascii="Times New Roman" w:hAnsi="Times New Roman"/>
          <w:b w:val="false"/>
          <w:i w:val="false"/>
          <w:color w:val="000000"/>
          <w:sz w:val="22"/>
        </w:rPr>
        <w:t> </w:t>
      </w:r>
      <w:r>
        <w:rPr>
          <w:rFonts w:ascii="Times New Roman" w:hAnsi="Times New Roman"/>
          <w:b w:val="false"/>
          <w:i w:val="false"/>
          <w:color w:val="000000"/>
          <w:sz w:val="22"/>
        </w:rPr>
        <w:t>The podiatrist will provide verification of current certification in Basic Cardiac Life Support (BCLS) or Advanced Cardiac Life Support (ACLS).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703.2(3)</w:t>
      </w:r>
      <w:r>
        <w:rPr>
          <w:rFonts w:ascii="Times New Roman" w:hAnsi="Times New Roman"/>
          <w:b w:val="false"/>
          <w:i w:val="false"/>
          <w:color w:val="000000"/>
          <w:sz w:val="22"/>
        </w:rPr>
        <w:t> </w:t>
      </w:r>
      <w:r>
        <w:rPr>
          <w:rFonts w:ascii="Times New Roman" w:hAnsi="Times New Roman"/>
          <w:b w:val="false"/>
          <w:i w:val="false"/>
          <w:color w:val="000000"/>
          <w:sz w:val="22"/>
        </w:rPr>
        <w:t xml:space="preserve">A podiatrist who has an attestation on file and continues to use conscious sedation will meet the requirements of </w:t>
      </w:r>
      <w:hyperlink r:id="rId5">
        <w:r>
          <w:rPr>
            <w:rStyle w:val="Hyperlink"/>
            <w:rFonts w:ascii="Times New Roman" w:hAnsi="Times New Roman"/>
            <w:b w:val="false"/>
            <w:i w:val="false"/>
            <w:color w:val="000000"/>
            <w:sz w:val="22"/>
          </w:rPr>
          <w:t>645—Chapter 702</w:t>
        </w:r>
      </w:hyperlink>
      <w:r>
        <w:rPr>
          <w:rFonts w:ascii="Times New Roman" w:hAnsi="Times New Roman"/>
          <w:b w:val="false"/>
          <w:i w:val="false"/>
          <w:color w:val="000000"/>
          <w:sz w:val="22"/>
        </w:rPr>
        <w:t xml:space="preserve"> at the time of license renewal. A minimum of one hour of continuing education in the area of conscious sedation or related topics is required beginning with the renewal cycle of July 1, 2004, to June 30, 2006. Continuing education credit in the area of conscious sedation may be applied toward the 40 hours of continuing education required for renewal of the license. In addition, the podiatrist will maintain current certification in BCLS or ACLS.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703.2(4)</w:t>
      </w:r>
      <w:r>
        <w:rPr>
          <w:rFonts w:ascii="Times New Roman" w:hAnsi="Times New Roman"/>
          <w:b w:val="false"/>
          <w:i w:val="false"/>
          <w:color w:val="000000"/>
          <w:sz w:val="22"/>
        </w:rPr>
        <w:t> </w:t>
      </w:r>
      <w:r>
        <w:rPr>
          <w:rFonts w:ascii="Times New Roman" w:hAnsi="Times New Roman"/>
          <w:b w:val="false"/>
          <w:i w:val="false"/>
          <w:color w:val="000000"/>
          <w:sz w:val="22"/>
        </w:rPr>
        <w:t>A podiatrist will only utilize conscious sedation in a hospital or ASC when the podiatrist has been granted clinical privileges by the governing body of the hospital or ASC in accordance with approved policies and procedures of the hospital or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703.2(5)</w:t>
      </w:r>
      <w:r>
        <w:rPr>
          <w:rFonts w:ascii="Times New Roman" w:hAnsi="Times New Roman"/>
          <w:b w:val="false"/>
          <w:i w:val="false"/>
          <w:color w:val="000000"/>
          <w:sz w:val="22"/>
        </w:rPr>
        <w:t> </w:t>
      </w:r>
      <w:r>
        <w:rPr>
          <w:rFonts w:ascii="Times New Roman" w:hAnsi="Times New Roman"/>
          <w:b w:val="false"/>
          <w:i w:val="false"/>
          <w:color w:val="000000"/>
          <w:sz w:val="22"/>
        </w:rPr>
        <w:t>It is a violation of the standard of care for a podiatrist to use conscious sedation agents that result in a deep sedation or general anesthetic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703.2(6)</w:t>
      </w:r>
      <w:r>
        <w:rPr>
          <w:rFonts w:ascii="Times New Roman" w:hAnsi="Times New Roman"/>
          <w:b w:val="false"/>
          <w:i w:val="false"/>
          <w:color w:val="000000"/>
          <w:sz w:val="22"/>
        </w:rPr>
        <w:t> </w:t>
      </w:r>
      <w:r>
        <w:rPr>
          <w:rFonts w:ascii="Times New Roman" w:hAnsi="Times New Roman"/>
          <w:b w:val="false"/>
          <w:i w:val="false"/>
          <w:color w:val="000000"/>
          <w:sz w:val="22"/>
        </w:rPr>
        <w:t>Reporting of adverse occurrences related to conscious sedation. A licensed podiatrist who has an attestation on file with the board must submit a report to the board within 30 days of any mortality or other incident which results in temporary or permanent physical or mental injury requiring hospitalization of the patient during or as a result of conscious sedation. Included in the report will 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podiatric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preoperative physical condition of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of drugs and 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in detail, of techniques utilized in administering the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adverse occurrence,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Symptoms of any complications including, but not limited to, onset and type of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instituted;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Response of the patient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patient’s condition on termination of any procedures undertaken;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patient is transferred, a statement providing where and to whom;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registered nurse who is trained to administer conscious sedation and who assisted in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Failure to comply with subrule </w:t>
      </w:r>
      <w:r>
        <w:rPr>
          <w:rFonts w:ascii="Times New Roman" w:hAnsi="Times New Roman"/>
          <w:b w:val="false"/>
          <w:i w:val="false"/>
          <w:color w:val="000000"/>
          <w:sz w:val="22"/>
        </w:rPr>
        <w:t>703.2(6)</w:t>
      </w:r>
      <w:r>
        <w:rPr>
          <w:rFonts w:ascii="Times New Roman" w:hAnsi="Times New Roman"/>
          <w:b w:val="false"/>
          <w:i w:val="false"/>
          <w:color w:val="000000"/>
          <w:sz w:val="22"/>
        </w:rPr>
        <w:t xml:space="preserve"> when the adverse occurrence is related to the use of conscious sedation may result in the podiatrist’s loss of authorization to administer conscious sedation or in other sanctions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703.2(8)</w:t>
      </w:r>
      <w:r>
        <w:rPr>
          <w:rFonts w:ascii="Times New Roman" w:hAnsi="Times New Roman"/>
          <w:b w:val="false"/>
          <w:i w:val="false"/>
          <w:color w:val="000000"/>
          <w:sz w:val="22"/>
        </w:rPr>
        <w:t> </w:t>
      </w:r>
      <w:r>
        <w:rPr>
          <w:rFonts w:ascii="Times New Roman" w:hAnsi="Times New Roman"/>
          <w:b w:val="false"/>
          <w:i w:val="false"/>
          <w:color w:val="000000"/>
          <w:sz w:val="22"/>
        </w:rPr>
        <w:t>Recordkeeping. The patient’s chart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Preoperative and postoperative vital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Dosage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Anesthesia time in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Monitors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Intermittent vital signs recorded during procedures and until the patient is fully alert and oriented with stable vital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of the person to whom the patient was discharged;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registered nurse who is trained to administer conscious sedation and who assisted in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703.2(9)</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 is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481—703.3</w:t>
      </w:r>
      <w:r>
        <w:rPr>
          <w:rFonts w:ascii="Times New Roman" w:hAnsi="Times New Roman"/>
          <w:b/>
          <w:i w:val="false"/>
          <w:color w:val="000000"/>
          <w:sz w:val="22"/>
        </w:rPr>
        <w:t xml:space="preserve">(139A) </w:t>
      </w:r>
      <w:r>
        <w:rPr>
          <w:rFonts w:ascii="Times New Roman" w:hAnsi="Times New Roman"/>
          <w:b/>
          <w:i w:val="false"/>
          <w:color w:val="000000"/>
          <w:sz w:val="22"/>
        </w:rPr>
        <w:t xml:space="preserve">Preventing HIV and HBV transmission. </w:t>
      </w:r>
      <w:r>
        <w:rPr>
          <w:rFonts w:ascii="Times New Roman" w:hAnsi="Times New Roman"/>
          <w:b w:val="false"/>
          <w:i w:val="false"/>
          <w:color w:val="000000"/>
          <w:sz w:val="22"/>
        </w:rPr>
        <w:t xml:space="preserve">Podiatrists will comply with the recommendations for preventing transmission of human immunodeficiency virus and hepatitis B virus to patients during exposure-prone invasive procedures, issued by the Centers for Disease Control and Prevention of the United States Department of Health and Human Services, or with the recommendations of the expert review panel established pursuant to Iowa Code section </w:t>
      </w:r>
      <w:hyperlink r:id="rId6">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 xml:space="preserve"> and applicable hospital protocols established pursuant to Iowa Code section </w:t>
      </w:r>
      <w:hyperlink r:id="rId7">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Failure to comply will be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481—703.4</w:t>
      </w:r>
      <w:r>
        <w:rPr>
          <w:rFonts w:ascii="Times New Roman" w:hAnsi="Times New Roman"/>
          <w:b/>
          <w:i w:val="false"/>
          <w:color w:val="000000"/>
          <w:sz w:val="22"/>
        </w:rPr>
        <w:t xml:space="preserve">(149) </w:t>
      </w:r>
      <w:r>
        <w:rPr>
          <w:rFonts w:ascii="Times New Roman" w:hAnsi="Times New Roman"/>
          <w:b/>
          <w:i w:val="false"/>
          <w:color w:val="000000"/>
          <w:sz w:val="22"/>
        </w:rPr>
        <w:t xml:space="preserve">Unlicensed graduate of a podiatric college. </w:t>
      </w:r>
      <w:r>
        <w:rPr>
          <w:rFonts w:ascii="Times New Roman" w:hAnsi="Times New Roman"/>
          <w:b w:val="false"/>
          <w:i w:val="false"/>
          <w:color w:val="000000"/>
          <w:sz w:val="22"/>
        </w:rPr>
        <w:t>An unlicensed graduate of a podiatric college may function in the licensed podiatrist’s office only as a podiatric assistant. The licensed podiatrist has full responsibility and liability for the unlicensed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703.4(1)</w:t>
      </w:r>
      <w:r>
        <w:rPr>
          <w:rFonts w:ascii="Times New Roman" w:hAnsi="Times New Roman"/>
          <w:b w:val="false"/>
          <w:i w:val="false"/>
          <w:color w:val="000000"/>
          <w:sz w:val="22"/>
        </w:rPr>
        <w:t> </w:t>
      </w:r>
      <w:r>
        <w:rPr>
          <w:rFonts w:ascii="Times New Roman" w:hAnsi="Times New Roman"/>
          <w:b w:val="false"/>
          <w:i w:val="false"/>
          <w:color w:val="000000"/>
          <w:sz w:val="22"/>
        </w:rPr>
        <w:t>Treatments, charting, and notations completed by the unlicensed graduate must be initialed by that person and countersigned by the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703.4(2)</w:t>
      </w:r>
      <w:r>
        <w:rPr>
          <w:rFonts w:ascii="Times New Roman" w:hAnsi="Times New Roman"/>
          <w:b w:val="false"/>
          <w:i w:val="false"/>
          <w:color w:val="000000"/>
          <w:sz w:val="22"/>
        </w:rPr>
        <w:t> </w:t>
      </w:r>
      <w:r>
        <w:rPr>
          <w:rFonts w:ascii="Times New Roman" w:hAnsi="Times New Roman"/>
          <w:b w:val="false"/>
          <w:i w:val="false"/>
          <w:color w:val="000000"/>
          <w:sz w:val="22"/>
        </w:rPr>
        <w:t>An unlicensed graduate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referred to as “doctor” during professional contact with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 patients in the office without a licensed podiatrist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surgical work without direct supervision of a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Diagnose or prescribe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Take independent actions regarding diagnosis, treatment or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Visit nursing homes or make house calls without the presence of the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Bill for any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481—703.5</w:t>
      </w:r>
      <w:r>
        <w:rPr>
          <w:rFonts w:ascii="Times New Roman" w:hAnsi="Times New Roman"/>
          <w:b/>
          <w:i w:val="false"/>
          <w:color w:val="000000"/>
          <w:sz w:val="22"/>
        </w:rPr>
        <w:t xml:space="preserve">(149) </w:t>
      </w:r>
      <w:r>
        <w:rPr>
          <w:rFonts w:ascii="Times New Roman" w:hAnsi="Times New Roman"/>
          <w:b/>
          <w:i w:val="false"/>
          <w:color w:val="000000"/>
          <w:sz w:val="22"/>
        </w:rPr>
        <w:t xml:space="preserve">Prescribing opioids. </w:t>
      </w:r>
      <w:r>
        <w:rPr>
          <w:rFonts w:ascii="Times New Roman" w:hAnsi="Times New Roman"/>
          <w:b w:val="false"/>
          <w:i w:val="false"/>
          <w:color w:val="000000"/>
          <w:sz w:val="22"/>
        </w:rPr>
        <w:t>Podiatrists will review a patient’s information contained in the prescription monitoring program database for each opioid prescription prior to prescribing, unless the patient is receiving inpatient hospice care or long-term residential facility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514F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1/15/03, Notice 10/30/02—published 2/5/03, effective 3/12/03]</w:t>
      </w:r>
    </w:p>
    <w:p>
      <w:pPr>
        <w:spacing w:before="0" w:after="0"/>
        <w:ind w:left="120"/>
        <w:jc w:val="center"/>
      </w:pPr>
      <w:r>
        <w:rPr>
          <w:rFonts w:ascii="Times New Roman" w:hAnsi="Times New Roman"/>
          <w:b w:val="false"/>
          <w:i w:val="false"/>
          <w:color w:val="000000"/>
          <w:sz w:val="21"/>
        </w:rPr>
        <w:t>[Filed 10/10/03, Notice 8/6/03—published 10/29/03, effective 12/3/03]</w:t>
      </w:r>
    </w:p>
    <w:p>
      <w:pPr>
        <w:spacing w:before="0" w:after="0"/>
        <w:ind w:left="120"/>
        <w:jc w:val="center"/>
      </w:pPr>
      <w:r>
        <w:rPr>
          <w:rFonts w:ascii="Times New Roman" w:hAnsi="Times New Roman"/>
          <w:b w:val="false"/>
          <w:i w:val="false"/>
          <w:color w:val="000000"/>
          <w:sz w:val="21"/>
        </w:rPr>
        <w:t>[Filed ARC 4321C</w:t>
      </w:r>
      <w:r>
        <w:rPr>
          <w:rFonts w:ascii="Times New Roman" w:hAnsi="Times New Roman"/>
          <w:b w:val="false"/>
          <w:i w:val="false"/>
          <w:color w:val="000000"/>
          <w:sz w:val="21"/>
        </w:rPr>
        <w:t xml:space="preserve"> (Notice ARC 4051C, IAB 10/10/18)</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7989C</w:t>
      </w:r>
      <w:r>
        <w:rPr>
          <w:rFonts w:ascii="Times New Roman" w:hAnsi="Times New Roman"/>
          <w:b w:val="false"/>
          <w:i w:val="false"/>
          <w:color w:val="000000"/>
          <w:sz w:val="21"/>
        </w:rPr>
        <w:t xml:space="preserve"> (Notice ARC 7178C,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5.702.pdf" Type="http://schemas.openxmlformats.org/officeDocument/2006/relationships/hyperlink" Id="rId5"/>
    <Relationship TargetMode="External" Target="https://www.legis.iowa.gov/docs/ico/chapter/139A.22.pdf" Type="http://schemas.openxmlformats.org/officeDocument/2006/relationships/hyperlink" Id="rId6"/>
    <Relationship TargetMode="External" Target="https://www.legis.iowa.gov/docs/ico/chapter/139A.22.pdf" Type="http://schemas.openxmlformats.org/officeDocument/2006/relationships/hyperlink" Id="rId7"/>
    <Relationship TargetMode="External" Target="https://www.legis.iowa.gov/docs/ico/chapter/139A.pdf" Type="http://schemas.openxmlformats.org/officeDocument/2006/relationships/hyperlink" Id="rId8"/>
    <Relationship TargetMode="External" Target="https://www.legis.iowa.gov/docs/ico/chapter/149.pdf" Type="http://schemas.openxmlformats.org/officeDocument/2006/relationships/hyperlink" Id="rId9"/>
    <Relationship TargetMode="External" Target="https://www.legis.iowa.gov/docs/ico/chapter/514F.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