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702</w:t>
      </w:r>
    </w:p>
    <w:p>
      <w:pPr>
        <w:spacing w:before="0" w:after="0"/>
        <w:ind w:left="120"/>
        <w:jc w:val="center"/>
      </w:pPr>
      <w:r>
        <w:rPr>
          <w:rFonts w:ascii="Times New Roman" w:hAnsi="Times New Roman"/>
          <w:b w:val="false"/>
          <w:i w:val="false"/>
          <w:color w:val="000000"/>
          <w:sz w:val="21"/>
        </w:rPr>
        <w:t>CONTINUING EDUCATION FOR PODIATRISTS</w:t>
      </w:r>
    </w:p>
    <w:p>
      <w:pPr>
        <w:spacing w:before="0" w:after="0"/>
        <w:ind w:left="120"/>
        <w:jc w:val="center"/>
      </w:pPr>
      <w:r>
        <w:rPr>
          <w:rFonts w:ascii="Times New Roman" w:hAnsi="Times New Roman"/>
          <w:b w:val="false"/>
          <w:i w:val="false"/>
          <w:color w:val="000000"/>
          <w:sz w:val="14"/>
        </w:rPr>
        <w:t>[Prior to 9/18/24, see Professional Licensure Division[645] Ch 222]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481—702.1</w:t>
      </w:r>
      <w:r>
        <w:rPr>
          <w:rFonts w:ascii="Times New Roman" w:hAnsi="Times New Roman"/>
          <w:b/>
          <w:i w:val="false"/>
          <w:color w:val="000000"/>
          <w:sz w:val="22"/>
        </w:rPr>
        <w:t xml:space="preserve">(149,272C)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podiatrist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481—702.2</w:t>
      </w:r>
      <w:r>
        <w:rPr>
          <w:rFonts w:ascii="Times New Roman" w:hAnsi="Times New Roman"/>
          <w:b/>
          <w:i w:val="false"/>
          <w:color w:val="000000"/>
          <w:sz w:val="22"/>
        </w:rPr>
        <w:t xml:space="preserve">(149,272C)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the next even-numbered year. Each biennium, each person who is licensed to practice as a podiatrist in this state shall be required to complete a minimum of 40 hours of continuing education. Licensees who complete continuing education hours in excess of the requirements for renewal may apply up to 50 percent of the required hours to the following renewal period. Licensees may apply a maximum of 20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9216C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481—702.3</w:t>
      </w:r>
      <w:r>
        <w:rPr>
          <w:rFonts w:ascii="Times New Roman" w:hAnsi="Times New Roman"/>
          <w:b/>
          <w:i w:val="false"/>
          <w:color w:val="000000"/>
          <w:sz w:val="22"/>
        </w:rPr>
        <w:t xml:space="preserve">(149,272C)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teaching in a college, university, or graduate school that is recognized by the U.S. Department of Education. The licensee may receive credit on a one-time basis for the first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the following programs/activities of a podiatric scientific nature and sponsored by an accredited college of podiatric medicine or the American Podiatric Medical Association or a regional or state affiliate or nonprofit hospital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in which participants and faculty are present at the same time and attendance can be verified. Such activities include lectures, conferences, focused seminars, clinical and practical workshops, simultaneous live satellite broadcasts and teleconferences;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Scientifically oriented material or risk management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podiatrist utilizes conscious sedation, the podiatrist shall obtain a minimum of one hour of continuing education in the area of conscious sedation or other 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a renewal cycle shall have obtained a minimum of one hour of continuing education regarding the United States Centers for Disease Control and Prevention guideline for prescribing opioids for chronic pain, including recommendations on limitations on dosages and the length of prescriptions, risk factors for abuse, and nonopioid and nonpharmacologic therapy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Combined maximum per biennium of 20 hours for the following continuing education source areas will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subrule. Two hours of credit will be awarded for each hour of presentation.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hours of credit for viewing videotaped presentations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an approved sponsoring group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facilitator or program official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official is not the only attendee;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meets all the criteria in rule </w:t>
      </w:r>
      <w:hyperlink r:id="rId5">
        <w:r>
          <w:rPr>
            <w:rStyle w:val="Hyperlink"/>
            <w:rFonts w:ascii="Times New Roman" w:hAnsi="Times New Roman"/>
            <w:b w:val="false"/>
            <w:i w:val="false"/>
            <w:color w:val="000000"/>
            <w:sz w:val="22"/>
          </w:rPr>
          <w:t>481—702.3</w:t>
        </w:r>
      </w:hyperlink>
      <w:r>
        <w:rPr>
          <w:rFonts w:ascii="Times New Roman" w:hAnsi="Times New Roman"/>
          <w:b w:val="false"/>
          <w:i w:val="false"/>
          <w:color w:val="000000"/>
          <w:sz w:val="22"/>
        </w:rPr>
        <w:t>(149,272C).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hours of credit for computer-assisted instructional courses or programs pertaining to patient care and the practice of podiatric medicine and surgery. These courses and programs must be approved by the American Podiatric Medical Association or its affiliates and have a certificate of completion that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course/program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Title of course/program;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course/program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Official signature or verification of course/program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Five hours of credit for reading journal articles pertaining to patient care and the practice of podiatric medicine and surgery. The licensee must pass a required posttest and be provided with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office management courses will be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equivalents for academic coursework per biennium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Credit is given only for actual hours attended.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2/1/01, Notice 11/1/00—published 2/21/01, effective 3/28/01]</w:t>
      </w:r>
    </w:p>
    <w:p>
      <w:pPr>
        <w:spacing w:before="0" w:after="0"/>
        <w:ind w:left="120"/>
        <w:jc w:val="center"/>
      </w:pPr>
      <w:r>
        <w:rPr>
          <w:rFonts w:ascii="Times New Roman" w:hAnsi="Times New Roman"/>
          <w:b w:val="false"/>
          <w:i w:val="false"/>
          <w:color w:val="000000"/>
          <w:sz w:val="21"/>
        </w:rPr>
        <w:t>[Filed 1/17/02, Notice 10/31/01—published 2/6/02, effective 3/13/02]</w:t>
      </w:r>
    </w:p>
    <w:p>
      <w:pPr>
        <w:spacing w:before="0" w:after="0"/>
        <w:ind w:left="120"/>
        <w:jc w:val="center"/>
      </w:pPr>
      <w:r>
        <w:rPr>
          <w:rFonts w:ascii="Times New Roman" w:hAnsi="Times New Roman"/>
          <w:b w:val="false"/>
          <w:i w:val="false"/>
          <w:color w:val="000000"/>
          <w:sz w:val="21"/>
        </w:rPr>
        <w:t>[Filed 10/10/03, Notice 8/6/03—published 10/29/03, effective 12/3/03]</w:t>
      </w:r>
    </w:p>
    <w:p>
      <w:pPr>
        <w:spacing w:before="0" w:after="0"/>
        <w:ind w:left="120"/>
        <w:jc w:val="center"/>
      </w:pPr>
      <w:r>
        <w:rPr>
          <w:rFonts w:ascii="Times New Roman" w:hAnsi="Times New Roman"/>
          <w:b w:val="false"/>
          <w:i w:val="false"/>
          <w:color w:val="000000"/>
          <w:sz w:val="21"/>
        </w:rPr>
        <w:t>[Filed 7/12/05,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1420C</w:t>
      </w:r>
      <w:r>
        <w:rPr>
          <w:rFonts w:ascii="Times New Roman" w:hAnsi="Times New Roman"/>
          <w:b w:val="false"/>
          <w:i w:val="false"/>
          <w:color w:val="000000"/>
          <w:sz w:val="21"/>
        </w:rPr>
        <w:t xml:space="preserve"> (Notice ARC 1199C, IAB 11/27/13)</w:t>
      </w:r>
      <w:r>
        <w:rPr>
          <w:rFonts w:ascii="Times New Roman" w:hAnsi="Times New Roman"/>
          <w:b w:val="false"/>
          <w:i w:val="false"/>
          <w:color w:val="000000"/>
          <w:sz w:val="21"/>
        </w:rPr>
        <w:t>, IAB 4/16/14, effective 5/21/14]</w:t>
      </w:r>
    </w:p>
    <w:p>
      <w:pPr>
        <w:spacing w:before="0" w:after="0"/>
        <w:ind w:left="120"/>
        <w:jc w:val="center"/>
      </w:pPr>
      <w:r>
        <w:rPr>
          <w:rFonts w:ascii="Times New Roman" w:hAnsi="Times New Roman"/>
          <w:b w:val="false"/>
          <w:i w:val="false"/>
          <w:color w:val="000000"/>
          <w:sz w:val="21"/>
        </w:rPr>
        <w:t>[Filed ARC 4321C</w:t>
      </w:r>
      <w:r>
        <w:rPr>
          <w:rFonts w:ascii="Times New Roman" w:hAnsi="Times New Roman"/>
          <w:b w:val="false"/>
          <w:i w:val="false"/>
          <w:color w:val="000000"/>
          <w:sz w:val="21"/>
        </w:rPr>
        <w:t xml:space="preserve"> (Notice ARC 4051C, IAB 10/10/18)</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7988C</w:t>
      </w:r>
      <w:r>
        <w:rPr>
          <w:rFonts w:ascii="Times New Roman" w:hAnsi="Times New Roman"/>
          <w:b w:val="false"/>
          <w:i w:val="false"/>
          <w:color w:val="000000"/>
          <w:sz w:val="21"/>
        </w:rPr>
        <w:t xml:space="preserve"> (Notice ARC 7177C,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9216C</w:t>
      </w:r>
      <w:r>
        <w:rPr>
          <w:rFonts w:ascii="Times New Roman" w:hAnsi="Times New Roman"/>
          <w:b w:val="false"/>
          <w:i w:val="false"/>
          <w:color w:val="000000"/>
          <w:sz w:val="21"/>
        </w:rPr>
        <w:t xml:space="preserve"> (Notice ARC 8874C, IAB 2/19/25)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02.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