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481—70.1</w:t>
      </w:r>
      <w:r>
        <w:rPr>
          <w:rFonts w:ascii="Times New Roman" w:hAnsi="Times New Roman"/>
          <w:b/>
          <w:i w:val="false"/>
          <w:color w:val="000000"/>
          <w:sz w:val="22"/>
        </w:rPr>
        <w:t xml:space="preserve">(231D)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 </w:t>
      </w:r>
      <w:hyperlink r:id="rId7">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this chapter, </w:t>
      </w:r>
      <w:hyperlink r:id="rId8">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“CARF”</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“Cognitive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characterized by cognitive dysfunction presumed to be the result of illness that does not meet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“Dementia-specific adult day services program”</w:t>
      </w:r>
      <w:r>
        <w:rPr>
          <w:rFonts w:ascii="Times New Roman" w:hAnsi="Times New Roman"/>
          <w:b w:val="false"/>
          <w:i w:val="false"/>
          <w:color w:val="000000"/>
          <w:sz w:val="22"/>
        </w:rPr>
        <w:t> </w:t>
      </w:r>
      <w:r>
        <w:rPr>
          <w:rFonts w:ascii="Times New Roman" w:hAnsi="Times New Roman"/>
          <w:b w:val="false"/>
          <w:i w:val="false"/>
          <w:color w:val="000000"/>
          <w:sz w:val="22"/>
        </w:rPr>
        <w:t>means an adult day services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participants and has 5 or more participants who have dementia between Stages 4 and 7 on the Global Deterioration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participants and 10 percent or more of the participants have dementia between Stages 4 and 7 on the Global Deterioration Scale,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“Maximal 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unstable”</w:t>
      </w:r>
      <w:r>
        <w:rPr>
          <w:rFonts w:ascii="Times New Roman" w:hAnsi="Times New Roman"/>
          <w:b w:val="false"/>
          <w:i w:val="false"/>
          <w:color w:val="000000"/>
          <w:sz w:val="22"/>
        </w:rPr>
        <w:t> </w:t>
      </w:r>
      <w:r>
        <w:rPr>
          <w:rFonts w:ascii="Times New Roman" w:hAnsi="Times New Roman"/>
          <w:b w:val="false"/>
          <w:i w:val="false"/>
          <w:color w:val="000000"/>
          <w:sz w:val="22"/>
        </w:rPr>
        <w:t>means that a participant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participant for more than 21 days by a registered nurse.</w:t>
      </w:r>
    </w:p>
    <w:p>
      <w:pPr>
        <w:spacing w:before="0" w:after="0"/>
        <w:ind w:left="120"/>
        <w:jc w:val="both"/>
      </w:pPr>
      <w:r>
        <w:rPr>
          <w:rFonts w:ascii="Times New Roman" w:hAnsi="Times New Roman"/>
          <w:b w:val="false"/>
          <w:i w:val="false"/>
          <w:color w:val="000000"/>
          <w:sz w:val="22"/>
        </w:rPr>
        <w:t>For example, a participant who has a condition such as congestive heart failure that results in three or more significant hospitalizations during a quarter and that requires that the participant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“Unmanageable incontinence”</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requires staff provision of total care for an incontinent participant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“Visiting day(s)”</w:t>
      </w:r>
      <w:r>
        <w:rPr>
          <w:rFonts w:ascii="Times New Roman" w:hAnsi="Times New Roman"/>
          <w:b w:val="false"/>
          <w:i w:val="false"/>
          <w:color w:val="000000"/>
          <w:sz w:val="22"/>
        </w:rPr>
        <w:t> </w:t>
      </w:r>
      <w:r>
        <w:rPr>
          <w:rFonts w:ascii="Times New Roman" w:hAnsi="Times New Roman"/>
          <w:b w:val="false"/>
          <w:i w:val="false"/>
          <w:color w:val="000000"/>
          <w:sz w:val="22"/>
        </w:rPr>
        <w:t>means up to 16 hours in a two-day period during which a person may visit a program prior to admission for the purpose of assessing eligibility for the program and personal satisfaction.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w:t>
      </w:r>
      <w:r>
        <w:rPr>
          <w:rFonts w:ascii="Times New Roman" w:hAnsi="Times New Roman"/>
          <w:b/>
          <w:i w:val="false"/>
          <w:color w:val="000000"/>
          <w:sz w:val="22"/>
        </w:rPr>
        <w:t xml:space="preserve">(231D)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or being voluntarily accredited by a recognized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The latest monitoring report, fire safety bureau report, and food establishment inspections report issued pursuant to Iowa Code chapter </w:t>
      </w:r>
      <w:hyperlink r:id="rId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w:t>
      </w:r>
      <w:r>
        <w:rPr>
          <w:rFonts w:ascii="Times New Roman" w:hAnsi="Times New Roman"/>
          <w:b w:val="false"/>
          <w:i w:val="false"/>
          <w:color w:val="000000"/>
          <w:sz w:val="22"/>
        </w:rPr>
        <w:t xml:space="preserve">If a program meets the definition of a dementia-specific adult day services program during two sequential certification monitorings, the program shall meet all requirements for a dementia-specific program, including the requirements set forth in rule </w:t>
      </w:r>
      <w:hyperlink r:id="rId10">
        <w:r>
          <w:rPr>
            <w:rStyle w:val="Hyperlink"/>
            <w:rFonts w:ascii="Times New Roman" w:hAnsi="Times New Roman"/>
            <w:b w:val="false"/>
            <w:i w:val="false"/>
            <w:color w:val="000000"/>
            <w:sz w:val="22"/>
          </w:rPr>
          <w:t>481—70.30</w:t>
        </w:r>
      </w:hyperlink>
      <w:r>
        <w:rPr>
          <w:rFonts w:ascii="Times New Roman" w:hAnsi="Times New Roman"/>
          <w:b w:val="false"/>
          <w:i w:val="false"/>
          <w:color w:val="000000"/>
          <w:sz w:val="22"/>
        </w:rPr>
        <w:t xml:space="preserve">(231D) and in subrule </w:t>
      </w:r>
      <w:hyperlink r:id="rId11">
        <w:r>
          <w:rPr>
            <w:rStyle w:val="Hyperlink"/>
            <w:rFonts w:ascii="Times New Roman" w:hAnsi="Times New Roman"/>
            <w:b w:val="false"/>
            <w:i w:val="false"/>
            <w:color w:val="000000"/>
            <w:sz w:val="22"/>
          </w:rPr>
          <w:t>70.32(2)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health facilities division website at </w:t>
      </w:r>
      <w:hyperlink r:id="rId1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481—70.4</w:t>
      </w:r>
      <w:r>
        <w:rPr>
          <w:rFonts w:ascii="Times New Roman" w:hAnsi="Times New Roman"/>
          <w:b/>
          <w:i w:val="false"/>
          <w:color w:val="000000"/>
          <w:sz w:val="22"/>
        </w:rPr>
        <w:t xml:space="preserve">(231D)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will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3">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4">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fall under the provisions in Iowa Code section </w:t>
      </w:r>
      <w:hyperlink r:id="rId15">
        <w:r>
          <w:rPr>
            <w:rStyle w:val="Hyperlink"/>
            <w:rFonts w:ascii="Times New Roman" w:hAnsi="Times New Roman"/>
            <w:b w:val="false"/>
            <w:i w:val="false"/>
            <w:color w:val="000000"/>
            <w:sz w:val="22"/>
          </w:rPr>
          <w:t>231D.5</w:t>
        </w:r>
      </w:hyperlink>
      <w:r>
        <w:rPr>
          <w:rFonts w:ascii="Times New Roman" w:hAnsi="Times New Roman"/>
          <w:b w:val="false"/>
          <w:i w:val="false"/>
          <w:color w:val="000000"/>
          <w:sz w:val="22"/>
        </w:rPr>
        <w:t xml:space="preserve">, including for a licensed health care facility as defined in Iowa Code section </w:t>
      </w:r>
      <w:hyperlink r:id="rId1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a licensed hospital as defined in Iowa Code section </w:t>
      </w:r>
      <w:hyperlink r:id="rId1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18">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building code and fire safety bureau approval and structural and evacuation review approval, the department will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proposed program meets the requirements for certification, a provisional certification will be issued to the program to begin operation and accept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will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19">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program of a final certification decision within ten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will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481—70.6</w:t>
      </w:r>
      <w:r>
        <w:rPr>
          <w:rFonts w:ascii="Times New Roman" w:hAnsi="Times New Roman"/>
          <w:b/>
          <w:i w:val="false"/>
          <w:color w:val="000000"/>
          <w:sz w:val="22"/>
        </w:rPr>
        <w:t xml:space="preserve">(231D) </w:t>
      </w:r>
      <w:r>
        <w:rPr>
          <w:rFonts w:ascii="Times New Roman" w:hAnsi="Times New Roman"/>
          <w:b/>
          <w:i w:val="false"/>
          <w:color w:val="000000"/>
          <w:sz w:val="22"/>
        </w:rPr>
        <w:t xml:space="preserve">Expiration of the certification of a nonaccredited program. </w:t>
      </w:r>
      <w:r>
        <w:rPr>
          <w:rFonts w:ascii="Times New Roman" w:hAnsi="Times New Roman"/>
          <w:b w:val="false"/>
          <w:i w:val="false"/>
          <w:color w:val="000000"/>
          <w:sz w:val="22"/>
        </w:rPr>
        <w:t>Unless conditionally issued, suspended or revoked, certification of a program will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481—70.7</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associated documentation, and the recertification fee as listed in Iowa Code section </w:t>
      </w:r>
      <w:hyperlink r:id="rId20">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at the address stated in subrule </w:t>
      </w:r>
      <w:hyperlink r:id="rId21">
        <w:r>
          <w:rPr>
            <w:rStyle w:val="Hyperlink"/>
            <w:rFonts w:ascii="Times New Roman" w:hAnsi="Times New Roman"/>
            <w:b w:val="false"/>
            <w:i w:val="false"/>
            <w:color w:val="000000"/>
            <w:sz w:val="22"/>
          </w:rPr>
          <w:t>70.3(1)</w:t>
        </w:r>
      </w:hyperlink>
      <w:r>
        <w:rPr>
          <w:rFonts w:ascii="Times New Roman" w:hAnsi="Times New Roman"/>
          <w:b w:val="false"/>
          <w:i w:val="false"/>
          <w:color w:val="000000"/>
          <w:sz w:val="22"/>
        </w:rPr>
        <w:t xml:space="preserve">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481—70.8</w:t>
      </w:r>
      <w:r>
        <w:rPr>
          <w:rFonts w:ascii="Times New Roman" w:hAnsi="Times New Roman"/>
          <w:b/>
          <w:i w:val="false"/>
          <w:color w:val="000000"/>
          <w:sz w:val="22"/>
        </w:rPr>
        <w:t xml:space="preserve">(231D)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associated documentation and fees. After all finalized documentation is received, including building code and fire safety bureau approval, the department will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70.8(2)</w:t>
      </w:r>
      <w:r>
        <w:rPr>
          <w:rFonts w:ascii="Times New Roman" w:hAnsi="Times New Roman"/>
          <w:b w:val="false"/>
          <w:i w:val="false"/>
          <w:color w:val="000000"/>
          <w:sz w:val="22"/>
        </w:rPr>
        <w:t> </w:t>
      </w:r>
      <w:r>
        <w:rPr>
          <w:rFonts w:ascii="Times New Roman" w:hAnsi="Times New Roman"/>
          <w:b w:val="false"/>
          <w:i w:val="false"/>
          <w:color w:val="000000"/>
          <w:sz w:val="22"/>
        </w:rPr>
        <w:t>If the facility is in good standing, the department will issue the program a two-year certification effective from the date of the expiration of the previous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481—70.9</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process.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health facilities division website at </w:t>
      </w:r>
      <w:hyperlink r:id="rId2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Appeals, and Licensing, Adult Services Bureau, 6200 Park Avenue, Des Moines, Iowa 50321; or by telephone at 515.281.7272.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70.9(2)</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70.9(3)</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requirements of the building code and fire safety bureau of the department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23">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481—70.10</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 xml:space="preserve">An application for certification or recertification of an accredited program shall comply with rule </w:t>
      </w:r>
      <w:hyperlink r:id="rId24">
        <w:r>
          <w:rPr>
            <w:rStyle w:val="Hyperlink"/>
            <w:rFonts w:ascii="Times New Roman" w:hAnsi="Times New Roman"/>
            <w:b w:val="false"/>
            <w:i w:val="false"/>
            <w:color w:val="000000"/>
            <w:sz w:val="22"/>
          </w:rPr>
          <w:t>481—70.4</w:t>
        </w:r>
      </w:hyperlink>
      <w:r>
        <w:rPr>
          <w:rFonts w:ascii="Times New Roman" w:hAnsi="Times New Roman"/>
          <w:b w:val="false"/>
          <w:i w:val="false"/>
          <w:color w:val="000000"/>
          <w:sz w:val="22"/>
        </w:rPr>
        <w:t>(231D) and include 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building code and fire safety bureau approval, the department will notify the accredited program whether the accredited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will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will provide the applicant an opportunity for hearing in accordance with rule </w:t>
      </w:r>
      <w:hyperlink r:id="rId25">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comply with rule </w:t>
      </w:r>
      <w:hyperlink r:id="rId26">
        <w:r>
          <w:rPr>
            <w:rStyle w:val="Hyperlink"/>
            <w:rFonts w:ascii="Times New Roman" w:hAnsi="Times New Roman"/>
            <w:b w:val="false"/>
            <w:i w:val="false"/>
            <w:color w:val="000000"/>
            <w:sz w:val="22"/>
          </w:rPr>
          <w:t>481—70.9</w:t>
        </w:r>
      </w:hyperlink>
      <w:r>
        <w:rPr>
          <w:rFonts w:ascii="Times New Roman" w:hAnsi="Times New Roman"/>
          <w:b w:val="false"/>
          <w:i w:val="false"/>
          <w:color w:val="000000"/>
          <w:sz w:val="22"/>
        </w:rPr>
        <w:t>(231D) at least 30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is in good standing, a full certification shall be issued for the term of the accreditation not to exceed three years, unless the certification is conditionally issued, suspended or revoked by either the department or the recognized accrediting entity. If the decision is to deny recertification, the department will provide the applicant an opportunity for hearing in accordance with rule </w:t>
      </w:r>
      <w:hyperlink r:id="rId27">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(231D)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will maintain a list of all certified programs, which is available online at </w:t>
      </w:r>
      <w:hyperlink r:id="rId28">
        <w:r>
          <w:rPr>
            <w:rStyle w:val="Hyperlink"/>
            <w:rFonts w:ascii="Times New Roman" w:hAnsi="Times New Roman"/>
            <w:b w:val="false"/>
            <w:i w:val="false"/>
            <w:color w:val="000000"/>
            <w:sz w:val="22"/>
            <w:u w:val="single"/>
          </w:rPr>
          <w:t>dia-hfd.iowa.gov/DIA_HFD/Home.do</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(231D)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accrediting entity shall submit a letter of request and its standards shall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The designation will remain in effect for as long as the accreditation standards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(231D)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(231D)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will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29">
        <w:r>
          <w:rPr>
            <w:rStyle w:val="Hyperlink"/>
            <w:rFonts w:ascii="Times New Roman" w:hAnsi="Times New Roman"/>
            <w:b w:val="false"/>
            <w:i w:val="false"/>
            <w:color w:val="000000"/>
            <w:sz w:val="22"/>
          </w:rPr>
          <w:t>481—70.15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 or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(231D)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30">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provide application and supporting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will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building code bureau shall review the blueprints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construction documents to the building code bureau’s online portal at </w:t>
      </w:r>
      <w:hyperlink r:id="rId32">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70.18(3)</w:t>
      </w:r>
      <w:r>
        <w:rPr>
          <w:rFonts w:ascii="Times New Roman" w:hAnsi="Times New Roman"/>
          <w:b w:val="false"/>
          <w:i w:val="false"/>
          <w:color w:val="000000"/>
          <w:sz w:val="22"/>
        </w:rPr>
        <w:t> </w:t>
      </w:r>
      <w:r>
        <w:rPr>
          <w:rFonts w:ascii="Times New Roman" w:hAnsi="Times New Roman"/>
          <w:b w:val="false"/>
          <w:i w:val="false"/>
          <w:color w:val="000000"/>
          <w:sz w:val="22"/>
        </w:rPr>
        <w:t>The plan review fee must be paid before construction documents are uploaded to the project folder.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regarding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site with the contractor, or Iowa-licensed architect or Iowa-licensed engineer, during the construction or remodeling process to ensure compliance with the approved construction documents.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481—70.19</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as defined in subrule </w:t>
      </w:r>
      <w:hyperlink r:id="rId33">
        <w:r>
          <w:rPr>
            <w:rStyle w:val="Hyperlink"/>
            <w:rFonts w:ascii="Times New Roman" w:hAnsi="Times New Roman"/>
            <w:b w:val="false"/>
            <w:i w:val="false"/>
            <w:color w:val="000000"/>
            <w:sz w:val="22"/>
          </w:rPr>
          <w:t>70.18(1)</w:t>
        </w:r>
      </w:hyperlink>
      <w:r>
        <w:rPr>
          <w:rFonts w:ascii="Times New Roman" w:hAnsi="Times New Roman"/>
          <w:b w:val="false"/>
          <w:i w:val="false"/>
          <w:color w:val="000000"/>
          <w:sz w:val="22"/>
        </w:rPr>
        <w:t xml:space="preserve">, the building code bureau shall review the construction documents for compliance with requirements set forth in rule </w:t>
      </w:r>
      <w:hyperlink r:id="rId34">
        <w:r>
          <w:rPr>
            <w:rStyle w:val="Hyperlink"/>
            <w:rFonts w:ascii="Times New Roman" w:hAnsi="Times New Roman"/>
            <w:b w:val="false"/>
            <w:i w:val="false"/>
            <w:color w:val="000000"/>
            <w:sz w:val="22"/>
          </w:rPr>
          <w:t>481—70.35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construction documents to the building code bureau’s online portal at </w:t>
      </w:r>
      <w:hyperlink r:id="rId35">
        <w:r>
          <w:rPr>
            <w:rStyle w:val="Hyperlink"/>
            <w:rFonts w:ascii="Times New Roman" w:hAnsi="Times New Roman"/>
            <w:b w:val="false"/>
            <w:i w:val="false"/>
            <w:color w:val="000000"/>
            <w:sz w:val="22"/>
            <w:u w:val="single"/>
          </w:rPr>
          <w:t>dial.iowa.gov/licenses/building/plan-review</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70.19(3)</w:t>
      </w:r>
      <w:r>
        <w:rPr>
          <w:rFonts w:ascii="Times New Roman" w:hAnsi="Times New Roman"/>
          <w:b w:val="false"/>
          <w:i w:val="false"/>
          <w:color w:val="000000"/>
          <w:sz w:val="22"/>
        </w:rPr>
        <w:t> </w:t>
      </w:r>
      <w:r>
        <w:rPr>
          <w:rFonts w:ascii="Times New Roman" w:hAnsi="Times New Roman"/>
          <w:b w:val="false"/>
          <w:i w:val="false"/>
          <w:color w:val="000000"/>
          <w:sz w:val="22"/>
        </w:rPr>
        <w:t>The documents won’t be reviewed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70.19(4)</w:t>
      </w:r>
      <w:r>
        <w:rPr>
          <w:rFonts w:ascii="Times New Roman" w:hAnsi="Times New Roman"/>
          <w:b w:val="false"/>
          <w:i w:val="false"/>
          <w:color w:val="000000"/>
          <w:sz w:val="22"/>
        </w:rPr>
        <w:t> </w:t>
      </w:r>
      <w:r>
        <w:rPr>
          <w:rFonts w:ascii="Times New Roman" w:hAnsi="Times New Roman"/>
          <w:b w:val="false"/>
          <w:i w:val="false"/>
          <w:color w:val="000000"/>
          <w:sz w:val="22"/>
        </w:rPr>
        <w:t>The building code bureau will review the documents within 35 working days of receipt and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building code bureau in 20 working days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building code bureau that the construction documents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70.19(7)</w:t>
      </w:r>
      <w:r>
        <w:rPr>
          <w:rFonts w:ascii="Times New Roman" w:hAnsi="Times New Roman"/>
          <w:b w:val="false"/>
          <w:i w:val="false"/>
          <w:color w:val="000000"/>
          <w:sz w:val="22"/>
        </w:rPr>
        <w:t> </w:t>
      </w:r>
      <w:r>
        <w:rPr>
          <w:rFonts w:ascii="Times New Roman" w:hAnsi="Times New Roman"/>
          <w:b w:val="false"/>
          <w:i w:val="false"/>
          <w:color w:val="000000"/>
          <w:sz w:val="22"/>
        </w:rPr>
        <w:t>The building code and fire safety bureaus will schedule an on-site visit of the building with the contractor, or Iowa-licensed architect or Iowa-licensed engineer, during the remodeling process to ensure compliance with the approved construction documents.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481—70.20</w:t>
      </w:r>
      <w:r>
        <w:rPr>
          <w:rFonts w:ascii="Times New Roman" w:hAnsi="Times New Roman"/>
          <w:b/>
          <w:i w:val="false"/>
          <w:color w:val="000000"/>
          <w:sz w:val="22"/>
        </w:rPr>
        <w:t xml:space="preserve">(231D) </w:t>
      </w:r>
      <w:r>
        <w:rPr>
          <w:rFonts w:ascii="Times New Roman" w:hAnsi="Times New Roman"/>
          <w:b/>
          <w:i w:val="false"/>
          <w:color w:val="000000"/>
          <w:sz w:val="22"/>
        </w:rPr>
        <w:t xml:space="preserve">Cessation of program operation that includes seeking 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at least 90 days in advance of cessation, unless there is some type of emergency, written notification to the department of the date on which the program will cease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the program shall submit a plan to the department and make arrangements for the safe and orderly discharge or transition of all participants within the 90-day period specified by subrule </w:t>
      </w:r>
      <w:hyperlink r:id="rId36">
        <w:r>
          <w:rPr>
            <w:rStyle w:val="Hyperlink"/>
            <w:rFonts w:ascii="Times New Roman" w:hAnsi="Times New Roman"/>
            <w:b w:val="false"/>
            <w:i w:val="false"/>
            <w:color w:val="000000"/>
            <w:sz w:val="22"/>
          </w:rPr>
          <w:t>70.20(1)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participants during the discharge process or transition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(231D) </w:t>
      </w:r>
      <w:r>
        <w:rPr>
          <w:rFonts w:ascii="Times New Roman" w:hAnsi="Times New Roman"/>
          <w:b/>
          <w:i w:val="false"/>
          <w:color w:val="000000"/>
          <w:sz w:val="22"/>
        </w:rPr>
        <w:t xml:space="preserve">Contractual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70.21(1)</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in 12-point type or larger, written in plain language using commonly understood terms and easy for the participant or the participant’s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37">
        <w:r>
          <w:rPr>
            <w:rStyle w:val="Hyperlink"/>
            <w:rFonts w:ascii="Times New Roman" w:hAnsi="Times New Roman"/>
            <w:b w:val="false"/>
            <w:i w:val="false"/>
            <w:color w:val="000000"/>
            <w:sz w:val="22"/>
          </w:rPr>
          <w:t>231D.17</w:t>
        </w:r>
      </w:hyperlink>
      <w:r>
        <w:rPr>
          <w:rFonts w:ascii="Times New Roman" w:hAnsi="Times New Roman"/>
          <w:b w:val="false"/>
          <w:i w:val="false"/>
          <w:color w:val="000000"/>
          <w:sz w:val="22"/>
        </w:rPr>
        <w:t>, the written contractual agreement shall include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participant at least 90 days in advance of any planned program cessation,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70.21(3)</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70.21(4)</w:t>
      </w:r>
      <w:r>
        <w:rPr>
          <w:rFonts w:ascii="Times New Roman" w:hAnsi="Times New Roman"/>
          <w:b w:val="false"/>
          <w:i w:val="false"/>
          <w:color w:val="000000"/>
          <w:sz w:val="22"/>
        </w:rPr>
        <w:t> </w:t>
      </w:r>
      <w:r>
        <w:rPr>
          <w:rFonts w:ascii="Times New Roman" w:hAnsi="Times New Roman"/>
          <w:b w:val="false"/>
          <w:i w:val="false"/>
          <w:color w:val="000000"/>
          <w:sz w:val="22"/>
        </w:rPr>
        <w:t>A copy of the contractual agreement shall be provided to the participant or the participant’s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contractual agreement shall be made available to the general public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(231D) </w:t>
      </w:r>
      <w:r>
        <w:rPr>
          <w:rFonts w:ascii="Times New Roman" w:hAnsi="Times New Roman"/>
          <w:b/>
          <w:i w:val="false"/>
          <w:color w:val="000000"/>
          <w:sz w:val="22"/>
        </w:rPr>
        <w:t xml:space="preserve">Evaluation of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participation. </w:t>
      </w:r>
      <w:r>
        <w:rPr>
          <w:rFonts w:ascii="Times New Roman" w:hAnsi="Times New Roman"/>
          <w:b w:val="false"/>
          <w:i w:val="false"/>
          <w:color w:val="000000"/>
          <w:sz w:val="22"/>
        </w:rPr>
        <w:t>A program shall evaluate each prospective participant’s functional, cognitive and health status prior to the participant’s signing the contractual agreement and participating in the program, with the exception of visiting day(s), to determine the participant’s eligibility for the program, including whether the services needed are available. The cognitive evaluation shall be appropriate to the population served. When the cognitive evaluation indicates moderate cognitive decline and risk, the Global Deterioration Scale shall be used at all subsequent intervals, if applicable. If the participant subsequently returns to the participant’s mildly cognitively impaired state, the program may discontinue the GDS and revert to a scored cognitive screening tool.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participation and with significant change. </w:t>
      </w:r>
      <w:r>
        <w:rPr>
          <w:rFonts w:ascii="Times New Roman" w:hAnsi="Times New Roman"/>
          <w:b w:val="false"/>
          <w:i w:val="false"/>
          <w:color w:val="000000"/>
          <w:sz w:val="22"/>
        </w:rPr>
        <w:t>A program shall evaluate each participant’s functional, cognitive and health status within 30 days of the participant’s beginning participation in the program. A program shall evaluate each participant’s functional, cognitive and health status as needed with significant change, but not less than annually, to determine the participant’s continued eligibility for the program and to determine any changes to services needed. The evaluation shall be conducted by a health care professional, human service professional, or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visiting day(s). </w:t>
      </w:r>
      <w:r>
        <w:rPr>
          <w:rFonts w:ascii="Times New Roman" w:hAnsi="Times New Roman"/>
          <w:b w:val="false"/>
          <w:i w:val="false"/>
          <w:color w:val="000000"/>
          <w:sz w:val="22"/>
        </w:rPr>
        <w:t>Evaluation of the participant is not required during visiting day(s), but the program shall provide the participant or the participant’s legal representative with a written explanation of the expectations for the visiting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(231D) </w:t>
      </w:r>
      <w:r>
        <w:rPr>
          <w:rFonts w:ascii="Times New Roman" w:hAnsi="Times New Roman"/>
          <w:b/>
          <w:i w:val="false"/>
          <w:color w:val="000000"/>
          <w:sz w:val="22"/>
        </w:rPr>
        <w:t xml:space="preserve">Criteria for admission and retention of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 xml:space="preserve">Criteria are set forth in Iowa Code section </w:t>
      </w:r>
      <w:hyperlink r:id="rId38">
        <w:r>
          <w:rPr>
            <w:rStyle w:val="Hyperlink"/>
            <w:rFonts w:ascii="Times New Roman" w:hAnsi="Times New Roman"/>
            <w:b w:val="false"/>
            <w:i w:val="false"/>
            <w:color w:val="000000"/>
            <w:sz w:val="22"/>
          </w:rPr>
          <w:t>231D.19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participation and discharge criteria. </w:t>
      </w:r>
      <w:r>
        <w:rPr>
          <w:rFonts w:ascii="Times New Roman" w:hAnsi="Times New Roman"/>
          <w:b w:val="false"/>
          <w:i w:val="false"/>
          <w:color w:val="000000"/>
          <w:sz w:val="22"/>
        </w:rPr>
        <w:t>A program may have additional participation or discharge criteria if the criteria are disclosed in the written contractual agreement prior to the participant’s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discharge from the program. </w:t>
      </w:r>
      <w:r>
        <w:rPr>
          <w:rFonts w:ascii="Times New Roman" w:hAnsi="Times New Roman"/>
          <w:b w:val="false"/>
          <w:i w:val="false"/>
          <w:color w:val="000000"/>
          <w:sz w:val="22"/>
        </w:rPr>
        <w:t>A program shall assist a participant and the participant’s legal representative, if applicable, to ensure a safe and orderly discharge from the program when the participant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481—70.24</w:t>
      </w:r>
      <w:r>
        <w:rPr>
          <w:rFonts w:ascii="Times New Roman" w:hAnsi="Times New Roman"/>
          <w:b/>
          <w:i w:val="false"/>
          <w:color w:val="000000"/>
          <w:sz w:val="22"/>
        </w:rPr>
        <w:t xml:space="preserve">(231D) </w:t>
      </w:r>
      <w:r>
        <w:rPr>
          <w:rFonts w:ascii="Times New Roman" w:hAnsi="Times New Roman"/>
          <w:b/>
          <w:i w:val="false"/>
          <w:color w:val="000000"/>
          <w:sz w:val="22"/>
        </w:rPr>
        <w:t xml:space="preserve">Involuntary discharge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discharge. </w:t>
      </w:r>
      <w:r>
        <w:rPr>
          <w:rFonts w:ascii="Times New Roman" w:hAnsi="Times New Roman"/>
          <w:b w:val="false"/>
          <w:i w:val="false"/>
          <w:color w:val="000000"/>
          <w:sz w:val="22"/>
        </w:rPr>
        <w:t xml:space="preserve">If a program initiates the involuntary discharge of a participant and the action is not the result of a monitoring, including a complaint investigation or program-reported incident investigation, by the department and if the participant or participant’s legal representative contests the discharge, the procedures in Iowa Code section </w:t>
      </w:r>
      <w:hyperlink r:id="rId39">
        <w:r>
          <w:rPr>
            <w:rStyle w:val="Hyperlink"/>
            <w:rFonts w:ascii="Times New Roman" w:hAnsi="Times New Roman"/>
            <w:b w:val="false"/>
            <w:i w:val="false"/>
            <w:color w:val="000000"/>
            <w:sz w:val="22"/>
          </w:rPr>
          <w:t>231D.18</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70.24(2)</w:t>
      </w:r>
      <w:r>
        <w:rPr>
          <w:rFonts w:ascii="Times New Roman" w:hAnsi="Times New Roman"/>
          <w:b w:val="false"/>
          <w:i w:val="false"/>
          <w:color w:val="000000"/>
          <w:sz w:val="22"/>
        </w:rPr>
        <w:t> </w:t>
      </w:r>
      <w:r>
        <w:rPr>
          <w:rFonts w:ascii="Times New Roman" w:hAnsi="Times New Roman"/>
          <w:b w:val="false"/>
          <w:i/>
          <w:color w:val="000000"/>
          <w:sz w:val="22"/>
        </w:rPr>
        <w:t xml:space="preserve">Discharge pursuant to results of monitoring or complaint or program-reported incident investigation by the department. </w:t>
      </w:r>
      <w:r>
        <w:rPr>
          <w:rFonts w:ascii="Times New Roman" w:hAnsi="Times New Roman"/>
          <w:b w:val="false"/>
          <w:i w:val="false"/>
          <w:color w:val="000000"/>
          <w:sz w:val="22"/>
        </w:rPr>
        <w:t>If one or more participants are identified as exceeding the admission and retention criteria for participants and need to be discharged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will notify the program, in writing, of the identification of any participant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participant, the participant’s legal representative, if applicable, and other providers of services to the participant will be notified of their opportunity to provide responses within ten days of receipt of the notice, including specific input, written comment, information, and documentation directly addressing any agreement or disagreement with the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discharge proceedings, the program’s internal appeal process in subrule </w:t>
      </w:r>
      <w:hyperlink r:id="rId40">
        <w:r>
          <w:rPr>
            <w:rStyle w:val="Hyperlink"/>
            <w:rFonts w:ascii="Times New Roman" w:hAnsi="Times New Roman"/>
            <w:b w:val="false"/>
            <w:i w:val="false"/>
            <w:color w:val="000000"/>
            <w:sz w:val="22"/>
          </w:rPr>
          <w:t>70.24(1)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participant exceeds admission and retention criteria, the program may collect and submit all responses to the department, including those from other interested parties, within ten working days of receipt of the notice. In the program’s response, the program will identify the participant, list the known responses from others, and note the program’s agreement or disagreement with the responses from others. Submission of a response does not eliminate the applicable requirements, including submission of a plan of correction under </w:t>
      </w:r>
      <w:hyperlink r:id="rId41">
        <w:r>
          <w:rPr>
            <w:rStyle w:val="Hyperlink"/>
            <w:rFonts w:ascii="Times New Roman" w:hAnsi="Times New Roman"/>
            <w:b w:val="false"/>
            <w:i w:val="false"/>
            <w:color w:val="000000"/>
            <w:sz w:val="22"/>
          </w:rPr>
          <w:t>481—subrule 67.13(3)</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ten working days of receipt of the program’s response for each identified participant, the department will consider the response and make a final finding regarding the continued retention of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will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will review the plan of correction in accordance with this chapter and </w:t>
      </w:r>
      <w:hyperlink r:id="rId42">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will notify the program of the opportunity to appeal the report findings as they relate to the admission and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participant who exceeds admission and retention criteria will be allowed to continue to participate in the program until all administrative appeals have been exhausted. Appeals filed that relate to the participant’s exceeding admission and retention criteria will be heard within 30 days of receipt, and appropriate services to meet the participant’s needs will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participant in a program. To allow a participant to continue to participate in the program, the program may request a waiver of criteria for retention of a participant pursuant to rule </w:t>
      </w:r>
      <w:hyperlink r:id="rId43">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ten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481—70.25</w:t>
      </w:r>
      <w:r>
        <w:rPr>
          <w:rFonts w:ascii="Times New Roman" w:hAnsi="Times New Roman"/>
          <w:b/>
          <w:i w:val="false"/>
          <w:color w:val="000000"/>
          <w:sz w:val="22"/>
        </w:rPr>
        <w:t xml:space="preserve">(231D) </w:t>
      </w:r>
      <w:r>
        <w:rPr>
          <w:rFonts w:ascii="Times New Roman" w:hAnsi="Times New Roman"/>
          <w:b/>
          <w:i w:val="false"/>
          <w:color w:val="000000"/>
          <w:sz w:val="22"/>
        </w:rPr>
        <w:t xml:space="preserve">Participant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participant shall be maintained by the program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participation record including the participant’s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participant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lists, which will be maintained in conformance with </w:t>
      </w:r>
      <w:hyperlink r:id="rId44">
        <w:r>
          <w:rPr>
            <w:rStyle w:val="Hyperlink"/>
            <w:rFonts w:ascii="Times New Roman" w:hAnsi="Times New Roman"/>
            <w:b w:val="false"/>
            <w:i w:val="false"/>
            <w:color w:val="000000"/>
            <w:sz w:val="22"/>
          </w:rPr>
          <w:t>481—paragraph 67.5(2)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participant’s contractual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participant or the participant’s legal representative, if applicable, has been fully informed of the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participant, including but not limited to those related to medication errors, accidents, falls, and elopements (such reports need not be included in the participant’s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participant is unable to advocate on the participant’s own behalf or the participant has multiple service providers, including hospice care providers, accurate documentation of the completion of routine personal or health-related care is required on task sheets. If tasks are doctor-ordered, the tasks will be part of the medication administration records (MARs);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participant shall be retained for a minimum of three years after termination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481—70.26</w:t>
      </w:r>
      <w:r>
        <w:rPr>
          <w:rFonts w:ascii="Times New Roman" w:hAnsi="Times New Roman"/>
          <w:b/>
          <w:i w:val="false"/>
          <w:color w:val="000000"/>
          <w:sz w:val="22"/>
        </w:rPr>
        <w:t xml:space="preserve">(231D)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participant based on the evaluations conducted in accordance with rule </w:t>
      </w:r>
      <w:hyperlink r:id="rId45">
        <w:r>
          <w:rPr>
            <w:rStyle w:val="Hyperlink"/>
            <w:rFonts w:ascii="Times New Roman" w:hAnsi="Times New Roman"/>
            <w:b w:val="false"/>
            <w:i w:val="false"/>
            <w:color w:val="000000"/>
            <w:sz w:val="22"/>
          </w:rPr>
          <w:t>481—70.22(231D)</w:t>
        </w:r>
      </w:hyperlink>
      <w:r>
        <w:rPr>
          <w:rFonts w:ascii="Times New Roman" w:hAnsi="Times New Roman"/>
          <w:b w:val="false"/>
          <w:i w:val="false"/>
          <w:color w:val="000000"/>
          <w:sz w:val="22"/>
        </w:rPr>
        <w:t xml:space="preserve"> and designed to meet the specific service needs of the individual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70.26(2)</w:t>
      </w:r>
      <w:r>
        <w:rPr>
          <w:rFonts w:ascii="Times New Roman" w:hAnsi="Times New Roman"/>
          <w:b w:val="false"/>
          <w:i w:val="false"/>
          <w:color w:val="000000"/>
          <w:sz w:val="22"/>
        </w:rPr>
        <w:t> </w:t>
      </w:r>
      <w:r>
        <w:rPr>
          <w:rFonts w:ascii="Times New Roman" w:hAnsi="Times New Roman"/>
          <w:b w:val="false"/>
          <w:i w:val="false"/>
          <w:color w:val="000000"/>
          <w:sz w:val="22"/>
        </w:rPr>
        <w:t>Prior to the participant’s signing the contractual agreement and participating in the program, a preliminary service plan shall be developed by a health care professional or human service professional in consultation with the participant and, at the participant’s request, with other individuals identified by the participant, and, if applicable, with the participant’s legal representative. All persons who develop the plan and the participant or the participant’s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70.26(3)</w:t>
      </w:r>
      <w:r>
        <w:rPr>
          <w:rFonts w:ascii="Times New Roman" w:hAnsi="Times New Roman"/>
          <w:b w:val="false"/>
          <w:i w:val="false"/>
          <w:color w:val="000000"/>
          <w:sz w:val="22"/>
        </w:rPr>
        <w:t> </w:t>
      </w:r>
      <w:r>
        <w:rPr>
          <w:rFonts w:ascii="Times New Roman" w:hAnsi="Times New Roman"/>
          <w:b w:val="false"/>
          <w:i w:val="false"/>
          <w:color w:val="000000"/>
          <w:sz w:val="22"/>
        </w:rPr>
        <w:t>When a participant needs personal care or health-related care, the service plan shall be updated within 30 days of the participant’s participation and as needed with significant change, but not less than annually.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participants who are unable to plan their own activities, including participants with dementia, planned and spontaneous activities based on the participant’s abilities and personal interests.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481—70.27</w:t>
      </w:r>
      <w:r>
        <w:rPr>
          <w:rFonts w:ascii="Times New Roman" w:hAnsi="Times New Roman"/>
          <w:b/>
          <w:i w:val="false"/>
          <w:color w:val="000000"/>
          <w:sz w:val="22"/>
        </w:rPr>
        <w:t xml:space="preserve">(231D)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participant does not receive personal or health-related care, but an observed significant change in the participant’s condition occurs, a nurse review shall be conducted. If a participant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participant’s condition, any participant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participants who receive health care professional-directed care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participant, to make recommendations and referrals as appropriate, and to monitor progress relating to previous recommendations at least every 90 days and whenever there are changes in the participant’s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46">
        <w:r>
          <w:rPr>
            <w:rStyle w:val="Hyperlink"/>
            <w:rFonts w:ascii="Times New Roman" w:hAnsi="Times New Roman"/>
            <w:b w:val="false"/>
            <w:i w:val="false"/>
            <w:color w:val="000000"/>
            <w:sz w:val="22"/>
          </w:rPr>
          <w:t>481—70.26</w:t>
        </w:r>
      </w:hyperlink>
      <w:r>
        <w:rPr>
          <w:rFonts w:ascii="Times New Roman" w:hAnsi="Times New Roman"/>
          <w:b w:val="false"/>
          <w:i w:val="false"/>
          <w:color w:val="000000"/>
          <w:sz w:val="22"/>
        </w:rPr>
        <w:t>(231D), showing the time, date and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481—70.28</w:t>
      </w:r>
      <w:r>
        <w:rPr>
          <w:rFonts w:ascii="Times New Roman" w:hAnsi="Times New Roman"/>
          <w:b/>
          <w:i w:val="false"/>
          <w:color w:val="000000"/>
          <w:sz w:val="22"/>
        </w:rPr>
        <w:t xml:space="preserve">(231D)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arrange for the availability of meals, unless otherwise noted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associate, or advanced registered nurse practitioner, or ordered by a licensed dietitian authorized by a qualified medical provider. A therapeutic diet provides food, fluids, or nutrients by oral, enteral, or parenteral routes and is used in the treatment of a disease or clinical condition to modify, eliminate, decrease, or increase specific macro- or micronutrients, or to provide mechanically altered food when medically indicated. A copy of the Iowa Simplified Diet Manual, Thirteenth Edition, published by the Iowa Academy of Nutrition and Dietetics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4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hyperlink r:id="rId48">
        <w:r>
          <w:rPr>
            <w:rStyle w:val="Hyperlink"/>
            <w:rFonts w:ascii="Times New Roman" w:hAnsi="Times New Roman"/>
            <w:b w:val="false"/>
            <w:i w:val="false"/>
            <w:color w:val="000000"/>
            <w:sz w:val="22"/>
          </w:rPr>
          <w:t>70.28(5)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will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be licensed pursuant to Iowa Code chapter </w:t>
      </w:r>
      <w:hyperlink r:id="rId49">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will be prepared offsite and transferred to the program kitchen for service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participants may be stored in the program’s kitchen. Participant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participant-requested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participant-requested menu-substitution items, but no bare-hand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481—70.29</w:t>
      </w:r>
      <w:r>
        <w:rPr>
          <w:rFonts w:ascii="Times New Roman" w:hAnsi="Times New Roman"/>
          <w:b/>
          <w:i w:val="false"/>
          <w:color w:val="000000"/>
          <w:sz w:val="22"/>
        </w:rPr>
        <w:t xml:space="preserve">(231D)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0">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70.29(1)</w:t>
      </w:r>
      <w:r>
        <w:rPr>
          <w:rFonts w:ascii="Times New Roman" w:hAnsi="Times New Roman"/>
          <w:b w:val="false"/>
          <w:i w:val="false"/>
          <w:color w:val="000000"/>
          <w:sz w:val="22"/>
        </w:rPr>
        <w:t> </w:t>
      </w:r>
      <w:r>
        <w:rPr>
          <w:rFonts w:ascii="Times New Roman" w:hAnsi="Times New Roman"/>
          <w:b w:val="false"/>
          <w:i w:val="false"/>
          <w:color w:val="000000"/>
          <w:sz w:val="22"/>
        </w:rPr>
        <w:t>No fewer than two staff persons who monitor participants will be awake and on duty during all hours of operation when two or more participants are participating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70.29(2)</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70.29(3)</w:t>
      </w:r>
      <w:r>
        <w:rPr>
          <w:rFonts w:ascii="Times New Roman" w:hAnsi="Times New Roman"/>
          <w:b w:val="false"/>
          <w:i w:val="false"/>
          <w:color w:val="000000"/>
          <w:sz w:val="22"/>
        </w:rPr>
        <w:t> </w:t>
      </w:r>
      <w:r>
        <w:rPr>
          <w:rFonts w:ascii="Times New Roman" w:hAnsi="Times New Roman"/>
          <w:b w:val="false"/>
          <w:i w:val="false"/>
          <w:color w:val="000000"/>
          <w:sz w:val="22"/>
        </w:rPr>
        <w:t>A program that serves one or more participants with cognitive disorders or dementia will follow written procedures that address how the program will respond to the emergency needs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70.29(4)</w:t>
      </w:r>
      <w:r>
        <w:rPr>
          <w:rFonts w:ascii="Times New Roman" w:hAnsi="Times New Roman"/>
          <w:b w:val="false"/>
          <w:i w:val="false"/>
          <w:color w:val="000000"/>
          <w:sz w:val="22"/>
        </w:rPr>
        <w:t> </w:t>
      </w:r>
      <w:r>
        <w:rPr>
          <w:rFonts w:ascii="Times New Roman" w:hAnsi="Times New Roman"/>
          <w:b w:val="false"/>
          <w:i w:val="false"/>
          <w:color w:val="000000"/>
          <w:sz w:val="22"/>
        </w:rPr>
        <w:t>The program will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481—70.30</w:t>
      </w:r>
      <w:r>
        <w:rPr>
          <w:rFonts w:ascii="Times New Roman" w:hAnsi="Times New Roman"/>
          <w:b/>
          <w:i w:val="false"/>
          <w:color w:val="000000"/>
          <w:sz w:val="22"/>
        </w:rPr>
        <w:t xml:space="preserve">(231D)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70.30(3)</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two hours of dementia-specific continuing education annually. Direct-contact personnel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dementia-specific education or training program within the past 12 months will be exempt from the education and training requirement of subrule </w:t>
      </w:r>
      <w:hyperlink r:id="rId51">
        <w:r>
          <w:rPr>
            <w:rStyle w:val="Hyperlink"/>
            <w:rFonts w:ascii="Times New Roman" w:hAnsi="Times New Roman"/>
            <w:b w:val="false"/>
            <w:i w:val="false"/>
            <w:color w:val="000000"/>
            <w:sz w:val="22"/>
          </w:rPr>
          <w:t>70.30(1)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will include hands-on training and include: classroom instruction, web-based training, and case studies of participants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(231D)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that will be provided to the participant along with the contractual agreement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participant and the process for managing risk and for upholding participant autonomy when participant decision making results in poor outcomes for the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participant will participate in the process. The result of the consensus-based process may be a managed risk consensus agreement that will include the signature of the participant and the signatures of all others who participated in the process and be included in the participant’s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(231D)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with procedures for natural disasters that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 including head injury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Participant evacuation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 A program serving a person(s) with cognitive disorder or dementia, whether in a general or dementia-specific setting, shall have written procedures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Alarm systems and appropriate staff response when a participant’s service plan indicates a risk of elopement or a participant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staff response if a participant with cognitive disorder or dementia is missing.</w:t>
      </w:r>
    </w:p>
    <w:p>
      <w:pPr>
        <w:spacing w:before="0" w:after="0"/>
        <w:ind w:left="120"/>
        <w:jc w:val="both"/>
      </w:pPr>
      <w:r>
        <w:rPr>
          <w:rFonts w:ascii="Times New Roman" w:hAnsi="Times New Roman"/>
          <w:b w:val="false"/>
          <w:i w:val="false"/>
          <w:color w:val="000000"/>
          <w:sz w:val="22"/>
        </w:rPr>
        <w:t>The program shall obtain approval from the fire safety bureau before the installation of any specialized door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adult day services programs in administrative rules promulgated by the building code and fire safety bureaus. Approval of both bureaus indicating that the building complies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participant to prevent scalding and control the maximum water temperature for participants with cognitive impairment or dementia or at a participant’s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(231D)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70.33(1)</w:t>
      </w:r>
      <w:r>
        <w:rPr>
          <w:rFonts w:ascii="Times New Roman" w:hAnsi="Times New Roman"/>
          <w:b w:val="false"/>
          <w:i w:val="false"/>
          <w:color w:val="000000"/>
          <w:sz w:val="22"/>
        </w:rPr>
        <w:t> </w:t>
      </w:r>
      <w:r>
        <w:rPr>
          <w:rFonts w:ascii="Times New Roman" w:hAnsi="Times New Roman"/>
          <w:b w:val="false"/>
          <w:i w:val="false"/>
          <w:color w:val="000000"/>
          <w:sz w:val="22"/>
        </w:rPr>
        <w:t>The vehicle will be accessible and appropriate to the participants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70.33(2)</w:t>
      </w:r>
      <w:r>
        <w:rPr>
          <w:rFonts w:ascii="Times New Roman" w:hAnsi="Times New Roman"/>
          <w:b w:val="false"/>
          <w:i w:val="false"/>
          <w:color w:val="000000"/>
          <w:sz w:val="22"/>
        </w:rPr>
        <w:t> </w:t>
      </w:r>
      <w:r>
        <w:rPr>
          <w:rFonts w:ascii="Times New Roman" w:hAnsi="Times New Roman"/>
          <w:b w:val="false"/>
          <w:i w:val="false"/>
          <w:color w:val="000000"/>
          <w:sz w:val="22"/>
        </w:rPr>
        <w:t>Every participant transported will have a seat in the vehicle, except for a participant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70.33(3)</w:t>
      </w:r>
      <w:r>
        <w:rPr>
          <w:rFonts w:ascii="Times New Roman" w:hAnsi="Times New Roman"/>
          <w:b w:val="false"/>
          <w:i w:val="false"/>
          <w:color w:val="000000"/>
          <w:sz w:val="22"/>
        </w:rPr>
        <w:t> </w:t>
      </w:r>
      <w:r>
        <w:rPr>
          <w:rFonts w:ascii="Times New Roman" w:hAnsi="Times New Roman"/>
          <w:b w:val="false"/>
          <w:i w:val="false"/>
          <w:color w:val="000000"/>
          <w:sz w:val="22"/>
        </w:rPr>
        <w:t>Vehicles will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70.33(4)</w:t>
      </w:r>
      <w:r>
        <w:rPr>
          <w:rFonts w:ascii="Times New Roman" w:hAnsi="Times New Roman"/>
          <w:b w:val="false"/>
          <w:i w:val="false"/>
          <w:color w:val="000000"/>
          <w:sz w:val="22"/>
        </w:rPr>
        <w:t> </w:t>
      </w:r>
      <w:r>
        <w:rPr>
          <w:rFonts w:ascii="Times New Roman" w:hAnsi="Times New Roman"/>
          <w:b w:val="false"/>
          <w:i w:val="false"/>
          <w:color w:val="000000"/>
          <w:sz w:val="22"/>
        </w:rPr>
        <w:t>Wheelchairs will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participant, the driver will be in the proximate area of the participants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70.33(6)</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and appropriate Iowa driver’s license or commercial driver’s license as required by law for the vehicle being utilized for transport, or be so licensed in another state. The driver will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70.33(7)</w:t>
      </w:r>
      <w:r>
        <w:rPr>
          <w:rFonts w:ascii="Times New Roman" w:hAnsi="Times New Roman"/>
          <w:b w:val="false"/>
          <w:i w:val="false"/>
          <w:color w:val="000000"/>
          <w:sz w:val="22"/>
        </w:rPr>
        <w:t> </w:t>
      </w:r>
      <w:r>
        <w:rPr>
          <w:rFonts w:ascii="Times New Roman" w:hAnsi="Times New Roman"/>
          <w:b w:val="false"/>
          <w:i w:val="false"/>
          <w:color w:val="000000"/>
          <w:sz w:val="22"/>
        </w:rPr>
        <w:t>Each vehicle will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(231D) </w:t>
      </w:r>
      <w:r>
        <w:rPr>
          <w:rFonts w:ascii="Times New Roman" w:hAnsi="Times New Roman"/>
          <w:b/>
          <w:i w:val="false"/>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appropriate activities for each participant reflecting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Activities shall be planned to support the participant’s service plan and be consistent with the program statement and participation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shall be developed at least monthly and made available to participants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70.34(4)</w:t>
      </w:r>
      <w:r>
        <w:rPr>
          <w:rFonts w:ascii="Times New Roman" w:hAnsi="Times New Roman"/>
          <w:b w:val="false"/>
          <w:i w:val="false"/>
          <w:color w:val="000000"/>
          <w:sz w:val="22"/>
        </w:rPr>
        <w:t> </w:t>
      </w:r>
      <w:r>
        <w:rPr>
          <w:rFonts w:ascii="Times New Roman" w:hAnsi="Times New Roman"/>
          <w:b w:val="false"/>
          <w:i w:val="false"/>
          <w:color w:val="000000"/>
          <w:sz w:val="22"/>
        </w:rPr>
        <w:t>Participants shall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(231D)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w:t>
      </w:r>
      <w:r>
        <w:rPr>
          <w:rFonts w:ascii="Times New Roman" w:hAnsi="Times New Roman"/>
          <w:b w:val="false"/>
          <w:i w:val="false"/>
          <w:color w:val="000000"/>
          <w:sz w:val="22"/>
        </w:rPr>
        <w:t> </w:t>
      </w:r>
      <w:r>
        <w:rPr>
          <w:rFonts w:ascii="Times New Roman" w:hAnsi="Times New Roman"/>
          <w:b w:val="false"/>
          <w:i w:val="false"/>
          <w:color w:val="000000"/>
          <w:sz w:val="22"/>
        </w:rPr>
        <w:t>The structure, equipment and physical environment of the program will be designed and operated to meet the needs of the participants. The building, grounds and equipment will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70.35(2)</w:t>
      </w:r>
      <w:r>
        <w:rPr>
          <w:rFonts w:ascii="Times New Roman" w:hAnsi="Times New Roman"/>
          <w:b w:val="false"/>
          <w:i w:val="false"/>
          <w:color w:val="000000"/>
          <w:sz w:val="22"/>
        </w:rPr>
        <w:t> </w:t>
      </w:r>
      <w:r>
        <w:rPr>
          <w:rFonts w:ascii="Times New Roman" w:hAnsi="Times New Roman"/>
          <w:b w:val="false"/>
          <w:i w:val="false"/>
          <w:color w:val="000000"/>
          <w:sz w:val="22"/>
        </w:rPr>
        <w:t>There will be at least one toilet for every ten participants and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70.35(3)</w:t>
      </w:r>
      <w:r>
        <w:rPr>
          <w:rFonts w:ascii="Times New Roman" w:hAnsi="Times New Roman"/>
          <w:b w:val="false"/>
          <w:i w:val="false"/>
          <w:color w:val="000000"/>
          <w:sz w:val="22"/>
        </w:rPr>
        <w:t> </w:t>
      </w:r>
      <w:r>
        <w:rPr>
          <w:rFonts w:ascii="Times New Roman" w:hAnsi="Times New Roman"/>
          <w:b w:val="false"/>
          <w:i w:val="false"/>
          <w:color w:val="000000"/>
          <w:sz w:val="22"/>
        </w:rPr>
        <w:t>Toilets and bathing and toileting appliances will be equipped for use by participants with multiple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70.35(4)</w:t>
      </w:r>
      <w:r>
        <w:rPr>
          <w:rFonts w:ascii="Times New Roman" w:hAnsi="Times New Roman"/>
          <w:b w:val="false"/>
          <w:i w:val="false"/>
          <w:color w:val="000000"/>
          <w:sz w:val="22"/>
        </w:rPr>
        <w:t> </w:t>
      </w:r>
      <w:r>
        <w:rPr>
          <w:rFonts w:ascii="Times New Roman" w:hAnsi="Times New Roman"/>
          <w:b w:val="false"/>
          <w:i w:val="false"/>
          <w:color w:val="000000"/>
          <w:sz w:val="22"/>
        </w:rPr>
        <w:t>There will be a ratio of at least one hand-washing sink for every two toilets. The sink(s) will be proximate to the toilets. Hand-washing facilities will be readily accessible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70.35(5)</w:t>
      </w:r>
      <w:r>
        <w:rPr>
          <w:rFonts w:ascii="Times New Roman" w:hAnsi="Times New Roman"/>
          <w:b w:val="false"/>
          <w:i w:val="false"/>
          <w:color w:val="000000"/>
          <w:sz w:val="22"/>
        </w:rPr>
        <w:t> </w:t>
      </w:r>
      <w:r>
        <w:rPr>
          <w:rFonts w:ascii="Times New Roman" w:hAnsi="Times New Roman"/>
          <w:b w:val="false"/>
          <w:i w:val="false"/>
          <w:color w:val="000000"/>
          <w:sz w:val="22"/>
        </w:rPr>
        <w:t>Shower and tub areas, if provided, will be equipped with grab bars and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70.35(6)</w:t>
      </w:r>
      <w:r>
        <w:rPr>
          <w:rFonts w:ascii="Times New Roman" w:hAnsi="Times New Roman"/>
          <w:b w:val="false"/>
          <w:i w:val="false"/>
          <w:color w:val="000000"/>
          <w:sz w:val="22"/>
        </w:rPr>
        <w:t> </w:t>
      </w:r>
      <w:r>
        <w:rPr>
          <w:rFonts w:ascii="Times New Roman" w:hAnsi="Times New Roman"/>
          <w:b w:val="false"/>
          <w:i w:val="false"/>
          <w:color w:val="000000"/>
          <w:sz w:val="22"/>
        </w:rPr>
        <w:t>Signaling emergency call devices will be installed or placed in all bathroom areas, restroom stalls and showers.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70.35(7)</w:t>
      </w:r>
      <w:r>
        <w:rPr>
          <w:rFonts w:ascii="Times New Roman" w:hAnsi="Times New Roman"/>
          <w:b w:val="false"/>
          <w:i w:val="false"/>
          <w:color w:val="000000"/>
          <w:sz w:val="22"/>
        </w:rPr>
        <w:t> </w:t>
      </w:r>
      <w:r>
        <w:rPr>
          <w:rFonts w:ascii="Times New Roman" w:hAnsi="Times New Roman"/>
          <w:b w:val="false"/>
          <w:i w:val="false"/>
          <w:color w:val="000000"/>
          <w:sz w:val="22"/>
        </w:rPr>
        <w:t>A telephone will be available to participants to make and receive calls in a private manner and for emergency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70.35(8)</w:t>
      </w:r>
      <w:r>
        <w:rPr>
          <w:rFonts w:ascii="Times New Roman" w:hAnsi="Times New Roman"/>
          <w:b w:val="false"/>
          <w:i w:val="false"/>
          <w:color w:val="000000"/>
          <w:sz w:val="22"/>
        </w:rPr>
        <w:t> </w:t>
      </w:r>
      <w:r>
        <w:rPr>
          <w:rFonts w:ascii="Times New Roman" w:hAnsi="Times New Roman"/>
          <w:b w:val="false"/>
          <w:i w:val="false"/>
          <w:color w:val="000000"/>
          <w:sz w:val="22"/>
        </w:rPr>
        <w:t>A storage area(s) will be provided for storage of program supplies and participants’ possessions, which will be stored in such a manner that, when not in use, will prevent personal injury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70.35(9)</w:t>
      </w:r>
      <w:r>
        <w:rPr>
          <w:rFonts w:ascii="Times New Roman" w:hAnsi="Times New Roman"/>
          <w:b w:val="false"/>
          <w:i w:val="false"/>
          <w:color w:val="000000"/>
          <w:sz w:val="22"/>
        </w:rPr>
        <w:t> </w:t>
      </w:r>
      <w:r>
        <w:rPr>
          <w:rFonts w:ascii="Times New Roman" w:hAnsi="Times New Roman"/>
          <w:b w:val="false"/>
          <w:i w:val="false"/>
          <w:color w:val="000000"/>
          <w:sz w:val="22"/>
        </w:rPr>
        <w:t>The program will provide a separate area to permit privacy for evaluations and to isolate participants who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70.35(10)</w:t>
      </w:r>
      <w:r>
        <w:rPr>
          <w:rFonts w:ascii="Times New Roman" w:hAnsi="Times New Roman"/>
          <w:b w:val="false"/>
          <w:i w:val="false"/>
          <w:color w:val="000000"/>
          <w:sz w:val="22"/>
        </w:rPr>
        <w:t> </w:t>
      </w:r>
      <w:r>
        <w:rPr>
          <w:rFonts w:ascii="Times New Roman" w:hAnsi="Times New Roman"/>
          <w:b w:val="false"/>
          <w:i w:val="false"/>
          <w:color w:val="000000"/>
          <w:sz w:val="22"/>
        </w:rPr>
        <w:t>The program will meet other building and public safety codes, including rules pertaining to accessibility contained in the state building code and provisions of the state building code relating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will meet the requirements in subrule </w:t>
      </w:r>
      <w:hyperlink r:id="rId52">
        <w:r>
          <w:rPr>
            <w:rStyle w:val="Hyperlink"/>
            <w:rFonts w:ascii="Times New Roman" w:hAnsi="Times New Roman"/>
            <w:b w:val="false"/>
            <w:i w:val="false"/>
            <w:color w:val="000000"/>
            <w:sz w:val="22"/>
          </w:rPr>
          <w:t>70.32(4)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481—70.36</w:t>
      </w:r>
      <w:r>
        <w:rPr>
          <w:rFonts w:ascii="Times New Roman" w:hAnsi="Times New Roman"/>
          <w:b/>
          <w:i w:val="false"/>
          <w:color w:val="000000"/>
          <w:sz w:val="22"/>
        </w:rPr>
        <w:t xml:space="preserve">(231D)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participant’s participation in an adult day services program that receives reimbursement through the medical assistance program under Iowa Code chapter </w:t>
      </w:r>
      <w:hyperlink r:id="rId5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participant or the participant’s personal representative whether the participant is a veteran or whether the participant is the spouse, widow or dependent of a veteran and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70.36(2)</w:t>
      </w:r>
      <w:r>
        <w:rPr>
          <w:rFonts w:ascii="Times New Roman" w:hAnsi="Times New Roman"/>
          <w:b w:val="false"/>
          <w:i w:val="false"/>
          <w:color w:val="000000"/>
          <w:sz w:val="22"/>
        </w:rPr>
        <w:t> </w:t>
      </w:r>
      <w:r>
        <w:rPr>
          <w:rFonts w:ascii="Times New Roman" w:hAnsi="Times New Roman"/>
          <w:b w:val="false"/>
          <w:i w:val="false"/>
          <w:color w:val="000000"/>
          <w:sz w:val="22"/>
        </w:rPr>
        <w:t>If the participant may be a veteran or the spouse, widow, or dependent of a veteran, the program shall report the participant’s name along with the name of the veteran, if applicable, as well as the name of the contact person for this information, to the Iowa department of veterans affairs. The program may also report such information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participant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5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0066D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Table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drawing>
          <wp:inline distT="0" distB="0" distL="0" distR="0">
            <wp:extent cx="5063014" cy="63921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063014" cy="6392178"/>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8177B</w:t>
      </w:r>
      <w:r>
        <w:rPr>
          <w:rFonts w:ascii="Times New Roman" w:hAnsi="Times New Roman"/>
          <w:b w:val="false"/>
          <w:i w:val="false"/>
          <w:color w:val="000000"/>
          <w:sz w:val="21"/>
        </w:rPr>
        <w:t xml:space="preserve"> (Notice ARC 7959B,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0066D</w:t>
      </w:r>
      <w:r>
        <w:rPr>
          <w:rFonts w:ascii="Times New Roman" w:hAnsi="Times New Roman"/>
          <w:b w:val="false"/>
          <w:i w:val="false"/>
          <w:color w:val="000000"/>
          <w:sz w:val="21"/>
        </w:rPr>
        <w:t xml:space="preserve"> (Notice ARC 9784C, IAB 12/10/25)</w:t>
      </w:r>
      <w:r>
        <w:rPr>
          <w:rFonts w:ascii="Times New Roman" w:hAnsi="Times New Roman"/>
          <w:b w:val="false"/>
          <w:i w:val="false"/>
          <w:color w:val="000000"/>
          <w:sz w:val="21"/>
        </w:rPr>
        <w:t>, IAB 2/4/26, effective 3/11/26]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5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D.pdf" Type="http://schemas.openxmlformats.org/officeDocument/2006/relationships/hyperlink" Id="rId6"/>
    <Relationship TargetMode="External" Target="https://www.legis.iowa.gov/docs/ico/chapter/231D.pdf" Type="http://schemas.openxmlformats.org/officeDocument/2006/relationships/hyperlink" Id="rId7"/>
    <Relationship TargetMode="External" Target="https://www.legis.iowa.gov/docs/iac/chapter/481.67.pdf" Type="http://schemas.openxmlformats.org/officeDocument/2006/relationships/hyperlink" Id="rId8"/>
    <Relationship TargetMode="External" Target="https://www.legis.iowa.gov/docs/ico/chapter/137F.pdf" Type="http://schemas.openxmlformats.org/officeDocument/2006/relationships/hyperlink" Id="rId9"/>
    <Relationship TargetMode="External" Target="https://www.legis.iowa.gov/docs/iac/rule/481.70.30.pdf" Type="http://schemas.openxmlformats.org/officeDocument/2006/relationships/hyperlink" Id="rId10"/>
    <Relationship TargetMode="External" Target="https://www.legis.iowa.gov/docs/iac/rule/481.70.32.pdf" Type="http://schemas.openxmlformats.org/officeDocument/2006/relationships/hyperlink" Id="rId11"/>
    <Relationship TargetMode="External" Target="http://dia-hfd.iowa.gov" Type="http://schemas.openxmlformats.org/officeDocument/2006/relationships/hyperlink" Id="rId12"/>
    <Relationship TargetMode="External" Target="https://www.legis.iowa.gov/docs/iac/rule/481.70.4.pdf" Type="http://schemas.openxmlformats.org/officeDocument/2006/relationships/hyperlink" Id="rId13"/>
    <Relationship TargetMode="External" Target="https://www.legis.iowa.gov/docs/iac/rule/481.70.4.pdf" Type="http://schemas.openxmlformats.org/officeDocument/2006/relationships/hyperlink" Id="rId14"/>
    <Relationship TargetMode="External" Target="https://www.legis.iowa.gov/docs/ico/chapter/231D.5.pdf" Type="http://schemas.openxmlformats.org/officeDocument/2006/relationships/hyperlink" Id="rId15"/>
    <Relationship TargetMode="External" Target="https://www.legis.iowa.gov/docs/ico/chapter/135C.1.pdf" Type="http://schemas.openxmlformats.org/officeDocument/2006/relationships/hyperlink" Id="rId16"/>
    <Relationship TargetMode="External" Target="https://www.legis.iowa.gov/docs/ico/chapter/135B.1.pdf" Type="http://schemas.openxmlformats.org/officeDocument/2006/relationships/hyperlink" Id="rId17"/>
    <Relationship TargetMode="External" Target="https://www.legis.iowa.gov/docs/ico/chapter/231D.4.pdf" Type="http://schemas.openxmlformats.org/officeDocument/2006/relationships/hyperlink" Id="rId18"/>
    <Relationship TargetMode="External" Target="https://www.legis.iowa.gov/docs/iac/rule/481.67.10.pdf" Type="http://schemas.openxmlformats.org/officeDocument/2006/relationships/hyperlink" Id="rId19"/>
    <Relationship TargetMode="External" Target="https://www.legis.iowa.gov/docs/ico/chapter/231D.4.pdf" Type="http://schemas.openxmlformats.org/officeDocument/2006/relationships/hyperlink" Id="rId20"/>
    <Relationship TargetMode="External" Target="https://www.legis.iowa.gov/docs/iac/rule/481.70.3.pdf" Type="http://schemas.openxmlformats.org/officeDocument/2006/relationships/hyperlink" Id="rId21"/>
    <Relationship TargetMode="External" Target="http://dia-hfd.iowa.gov" Type="http://schemas.openxmlformats.org/officeDocument/2006/relationships/hyperlink" Id="rId22"/>
    <Relationship TargetMode="External" Target="https://www.legis.iowa.gov/docs/ico/chapter/231D.4.pdf" Type="http://schemas.openxmlformats.org/officeDocument/2006/relationships/hyperlink" Id="rId23"/>
    <Relationship TargetMode="External" Target="https://www.legis.iowa.gov/docs/iac/rule/481.70.4.pdf" Type="http://schemas.openxmlformats.org/officeDocument/2006/relationships/hyperlink" Id="rId24"/>
    <Relationship TargetMode="External" Target="https://www.legis.iowa.gov/docs/iac/rule/481.67.13.pdf" Type="http://schemas.openxmlformats.org/officeDocument/2006/relationships/hyperlink" Id="rId25"/>
    <Relationship TargetMode="External" Target="https://www.legis.iowa.gov/docs/iac/rule/481.70.9.pdf" Type="http://schemas.openxmlformats.org/officeDocument/2006/relationships/hyperlink" Id="rId26"/>
    <Relationship TargetMode="External" Target="https://www.legis.iowa.gov/docs/iac/rule/481.67.14.pdf" Type="http://schemas.openxmlformats.org/officeDocument/2006/relationships/hyperlink" Id="rId27"/>
    <Relationship TargetMode="External" Target="http://dia-hfd.iowa.gov/DIA_HFD/Home.do" Type="http://schemas.openxmlformats.org/officeDocument/2006/relationships/hyperlink" Id="rId28"/>
    <Relationship TargetMode="External" Target="https://www.legis.iowa.gov/docs/iac/rule/481.70.15.pdf" Type="http://schemas.openxmlformats.org/officeDocument/2006/relationships/hyperlink" Id="rId29"/>
    <Relationship TargetMode="External" Target="https://www.legis.iowa.gov/docs/ico/chapter/231D.pdf" Type="http://schemas.openxmlformats.org/officeDocument/2006/relationships/hyperlink" Id="rId30"/>
    <Relationship TargetMode="External" Target="https://www.legis.iowa.gov/docs/iac/chapter/481.67.pdf" Type="http://schemas.openxmlformats.org/officeDocument/2006/relationships/hyperlink" Id="rId31"/>
    <Relationship TargetMode="External" Target="http://dial.iowa.gov/licenses/building/plan-review" Type="http://schemas.openxmlformats.org/officeDocument/2006/relationships/hyperlink" Id="rId32"/>
    <Relationship TargetMode="External" Target="https://www.legis.iowa.gov/docs/iac/rule/481.70.18.pdf" Type="http://schemas.openxmlformats.org/officeDocument/2006/relationships/hyperlink" Id="rId33"/>
    <Relationship TargetMode="External" Target="https://www.legis.iowa.gov/docs/iac/rule/481.70.35.pdf" Type="http://schemas.openxmlformats.org/officeDocument/2006/relationships/hyperlink" Id="rId34"/>
    <Relationship TargetMode="External" Target="http://dial.iowa.gov/licenses/building/plan-review" Type="http://schemas.openxmlformats.org/officeDocument/2006/relationships/hyperlink" Id="rId35"/>
    <Relationship TargetMode="External" Target="https://www.legis.iowa.gov/docs/iac/rule/481.70.20.pdf" Type="http://schemas.openxmlformats.org/officeDocument/2006/relationships/hyperlink" Id="rId36"/>
    <Relationship TargetMode="External" Target="https://www.legis.iowa.gov/docs/ico/chapter/231D.17.pdf" Type="http://schemas.openxmlformats.org/officeDocument/2006/relationships/hyperlink" Id="rId37"/>
    <Relationship TargetMode="External" Target="https://www.legis.iowa.gov/docs/ico/chapter/231D.19.pdf" Type="http://schemas.openxmlformats.org/officeDocument/2006/relationships/hyperlink" Id="rId38"/>
    <Relationship TargetMode="External" Target="https://www.legis.iowa.gov/docs/ico/chapter/231D.18.pdf" Type="http://schemas.openxmlformats.org/officeDocument/2006/relationships/hyperlink" Id="rId39"/>
    <Relationship TargetMode="External" Target="https://www.legis.iowa.gov/docs/iac/rule/481.70.24.pdf" Type="http://schemas.openxmlformats.org/officeDocument/2006/relationships/hyperlink" Id="rId40"/>
    <Relationship TargetMode="External" Target="https://www.legis.iowa.gov/docs/iac/rule/481.67.13.pdf" Type="http://schemas.openxmlformats.org/officeDocument/2006/relationships/hyperlink" Id="rId41"/>
    <Relationship TargetMode="External" Target="https://www.legis.iowa.gov/docs/iac/chapter/481.67.pdf" Type="http://schemas.openxmlformats.org/officeDocument/2006/relationships/hyperlink" Id="rId42"/>
    <Relationship TargetMode="External" Target="https://www.legis.iowa.gov/docs/iac/rule/481.67.7.pdf" Type="http://schemas.openxmlformats.org/officeDocument/2006/relationships/hyperlink" Id="rId43"/>
    <Relationship TargetMode="External" Target="https://www.legis.iowa.gov/docs/iac/rule/481.67.5.pdf" Type="http://schemas.openxmlformats.org/officeDocument/2006/relationships/hyperlink" Id="rId44"/>
    <Relationship TargetMode="External" Target="https://www.legis.iowa.gov/docs/iac/rule/481.70.22.pdf" Type="http://schemas.openxmlformats.org/officeDocument/2006/relationships/hyperlink" Id="rId45"/>
    <Relationship TargetMode="External" Target="https://www.legis.iowa.gov/docs/iac/rule/481.70.26.pdf" Type="http://schemas.openxmlformats.org/officeDocument/2006/relationships/hyperlink" Id="rId46"/>
    <Relationship TargetMode="External" Target="https://www.legis.iowa.gov/docs/ico/chapter/137F.pdf" Type="http://schemas.openxmlformats.org/officeDocument/2006/relationships/hyperlink" Id="rId47"/>
    <Relationship TargetMode="External" Target="https://www.legis.iowa.gov/docs/iac/rule/481.70.28.pdf" Type="http://schemas.openxmlformats.org/officeDocument/2006/relationships/hyperlink" Id="rId48"/>
    <Relationship TargetMode="External" Target="https://www.legis.iowa.gov/docs/ico/chapter/137F.pdf" Type="http://schemas.openxmlformats.org/officeDocument/2006/relationships/hyperlink" Id="rId49"/>
    <Relationship TargetMode="External" Target="https://www.legis.iowa.gov/docs/iac/rule/481.67.9.pdf" Type="http://schemas.openxmlformats.org/officeDocument/2006/relationships/hyperlink" Id="rId50"/>
    <Relationship TargetMode="External" Target="https://www.legis.iowa.gov/docs/iac/rule/481.70.30.pdf" Type="http://schemas.openxmlformats.org/officeDocument/2006/relationships/hyperlink" Id="rId51"/>
    <Relationship TargetMode="External" Target="https://www.legis.iowa.gov/docs/iac/rule/481.70.32.pdf" Type="http://schemas.openxmlformats.org/officeDocument/2006/relationships/hyperlink" Id="rId52"/>
    <Relationship TargetMode="External" Target="https://www.legis.iowa.gov/docs/ico/chapter/249A.pdf" Type="http://schemas.openxmlformats.org/officeDocument/2006/relationships/hyperlink" Id="rId53"/>
    <Relationship TargetMode="External" Target="https://www.legis.iowa.gov/docs/ico/chapter/249A.pdf" Type="http://schemas.openxmlformats.org/officeDocument/2006/relationships/hyperlink" Id="rId54"/>
    <Relationship TargetMode="External" Target="https://www.legis.iowa.gov/docs/ico/chapter/231D.pdf" Type="http://schemas.openxmlformats.org/officeDocument/2006/relationships/hyperlink" Id="rId55"/>
    <Relationship Target="media/document_image_rId56.jpeg" Type="http://schemas.openxmlformats.org/officeDocument/2006/relationships/image" Id="rId56"/>
    <Relationship Target="footer.xml" Type="http://schemas.openxmlformats.org/officeDocument/2006/relationships/footer" Id="rId5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