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68</w:t>
      </w:r>
    </w:p>
    <w:p>
      <w:pPr>
        <w:spacing w:before="0" w:after="0"/>
        <w:ind w:left="120"/>
        <w:jc w:val="center"/>
      </w:pPr>
      <w:r>
        <w:rPr>
          <w:rFonts w:ascii="Times New Roman" w:hAnsi="Times New Roman"/>
          <w:b w:val="false"/>
          <w:i w:val="false"/>
          <w:color w:val="000000"/>
          <w:sz w:val="21"/>
        </w:rPr>
        <w:t>ELDER GROUP HOMES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i w:val="false"/>
          <w:color w:val="000000"/>
          <w:sz w:val="22"/>
        </w:rPr>
        <w:t>481—68.1</w:t>
      </w:r>
      <w:r>
        <w:rPr>
          <w:rFonts w:ascii="Times New Roman" w:hAnsi="Times New Roman"/>
          <w:b/>
          <w:i w:val="false"/>
          <w:color w:val="000000"/>
          <w:sz w:val="22"/>
        </w:rPr>
        <w:t xml:space="preserve">(231B)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w:t>
      </w:r>
      <w:hyperlink r:id="rId5">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Iowa Code chapter </w:t>
      </w:r>
      <w:hyperlink r:id="rId6">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“Applicable requirements” </w:t>
      </w:r>
      <w:r>
        <w:rPr>
          <w:rFonts w:ascii="Times New Roman" w:hAnsi="Times New Roman"/>
          <w:b w:val="false"/>
          <w:i w:val="false"/>
          <w:color w:val="000000"/>
          <w:sz w:val="22"/>
        </w:rPr>
        <w:t xml:space="preserve">means the requirements in Iowa Code chapter </w:t>
      </w:r>
      <w:hyperlink r:id="rId7">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xml:space="preserve">, this chapter and </w:t>
      </w:r>
      <w:hyperlink r:id="rId8">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any other applicable administrative rules and provisions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“Household occupant” </w:t>
      </w:r>
      <w:r>
        <w:rPr>
          <w:rFonts w:ascii="Times New Roman" w:hAnsi="Times New Roman"/>
          <w:b w:val="false"/>
          <w:i w:val="false"/>
          <w:color w:val="000000"/>
          <w:sz w:val="22"/>
        </w:rPr>
        <w:t>means a tenant and all others who reside in an elder group home (EGH).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“Maximal assistance with activities of daily living” </w:t>
      </w:r>
      <w:r>
        <w:rPr>
          <w:rFonts w:ascii="Times New Roman" w:hAnsi="Times New Roman"/>
          <w:b w:val="false"/>
          <w:i w:val="false"/>
          <w:color w:val="000000"/>
          <w:sz w:val="22"/>
        </w:rPr>
        <w:t>means routine total dependence on staff for the performance of a minimum of four activities of daily living for a period that exceeds 21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“Medically unstable” </w:t>
      </w:r>
      <w:r>
        <w:rPr>
          <w:rFonts w:ascii="Times New Roman" w:hAnsi="Times New Roman"/>
          <w:b w:val="false"/>
          <w:i w:val="false"/>
          <w:color w:val="000000"/>
          <w:sz w:val="22"/>
        </w:rPr>
        <w:t>means that a tenant has a condition or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Indicating physiological frailty as determined by the program’s staff in consultation with a physician or physician extender;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Resulting in two or more significant hospitalizations within a consecutive three-month period for more than observation;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Requiring supervision by a registered nurse more than once a week of the tenant for more than 21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“On-site manager” </w:t>
      </w:r>
      <w:r>
        <w:rPr>
          <w:rFonts w:ascii="Times New Roman" w:hAnsi="Times New Roman"/>
          <w:b w:val="false"/>
          <w:i w:val="false"/>
          <w:color w:val="000000"/>
          <w:sz w:val="22"/>
        </w:rPr>
        <w:t>means the person on duty responsible for direct supervision or provision of tenant care. The on-site manager may be any household occupant over 18 years of age, except a tenant, who is qualified to perform the necessary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care provider” </w:t>
      </w:r>
      <w:r>
        <w:rPr>
          <w:rFonts w:ascii="Times New Roman" w:hAnsi="Times New Roman"/>
          <w:b w:val="false"/>
          <w:i w:val="false"/>
          <w:color w:val="000000"/>
          <w:sz w:val="22"/>
        </w:rPr>
        <w:t>means an individual who, in return for remuneration, assists with the essential activities of daily living that the tenant can perform personally only with difficulty.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an elder group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“Unmanageable incontinence” </w:t>
      </w:r>
      <w:r>
        <w:rPr>
          <w:rFonts w:ascii="Times New Roman" w:hAnsi="Times New Roman"/>
          <w:b w:val="false"/>
          <w:i w:val="false"/>
          <w:color w:val="000000"/>
          <w:sz w:val="22"/>
        </w:rPr>
        <w:t>means a condition that requires staff provision of total care for an incontinent tenant who lacks the ability to assist in bladder or bowel continence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“Usable floor space” </w:t>
      </w:r>
      <w:r>
        <w:rPr>
          <w:rFonts w:ascii="Times New Roman" w:hAnsi="Times New Roman"/>
          <w:b w:val="false"/>
          <w:i w:val="false"/>
          <w:color w:val="000000"/>
          <w:sz w:val="22"/>
        </w:rPr>
        <w:t>means open floor space that is not under fixtures, furniture or other barriers and is available for walking or wheelchair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481—68.2</w:t>
      </w:r>
      <w:r>
        <w:rPr>
          <w:rFonts w:ascii="Times New Roman" w:hAnsi="Times New Roman"/>
          <w:b/>
          <w:i w:val="false"/>
          <w:color w:val="000000"/>
          <w:sz w:val="22"/>
        </w:rPr>
        <w:t xml:space="preserve">(231B) </w:t>
      </w:r>
      <w:r>
        <w:rPr>
          <w:rFonts w:ascii="Times New Roman" w:hAnsi="Times New Roman"/>
          <w:b/>
          <w:i w:val="false"/>
          <w:color w:val="000000"/>
          <w:sz w:val="22"/>
        </w:rPr>
        <w:t xml:space="preserve">Program certification and posting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A program may obtain certification by meeting all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68.2(2)</w:t>
      </w:r>
      <w:r>
        <w:rPr>
          <w:rFonts w:ascii="Times New Roman" w:hAnsi="Times New Roman"/>
          <w:b w:val="false"/>
          <w:i w:val="false"/>
          <w:color w:val="000000"/>
          <w:sz w:val="22"/>
        </w:rPr>
        <w:t> </w:t>
      </w:r>
      <w:r>
        <w:rPr>
          <w:rFonts w:ascii="Times New Roman" w:hAnsi="Times New Roman"/>
          <w:b w:val="false"/>
          <w:i/>
          <w:color w:val="000000"/>
          <w:sz w:val="22"/>
        </w:rPr>
        <w:t xml:space="preserve">Posting requirements. </w:t>
      </w:r>
      <w:r>
        <w:rPr>
          <w:rFonts w:ascii="Times New Roman" w:hAnsi="Times New Roman"/>
          <w:b w:val="false"/>
          <w:i w:val="false"/>
          <w:color w:val="000000"/>
          <w:sz w:val="22"/>
        </w:rPr>
        <w:t xml:space="preserve">A program’s current certificate shall be visibly displayed within the designated operation area of the program. The latest monitoring report, fire safety bureau report, and food establishment inspections report issued pursuant to Iowa Code chapter </w:t>
      </w:r>
      <w:hyperlink r:id="rId9">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shall be made available to the public by the program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481—68.3</w:t>
      </w:r>
      <w:r>
        <w:rPr>
          <w:rFonts w:ascii="Times New Roman" w:hAnsi="Times New Roman"/>
          <w:b/>
          <w:i w:val="false"/>
          <w:color w:val="000000"/>
          <w:sz w:val="22"/>
        </w:rPr>
        <w:t xml:space="preserve">(231B) </w:t>
      </w:r>
      <w:r>
        <w:rPr>
          <w:rFonts w:ascii="Times New Roman" w:hAnsi="Times New Roman"/>
          <w:b/>
          <w:i w:val="false"/>
          <w:color w:val="000000"/>
          <w:sz w:val="22"/>
        </w:rPr>
        <w:t xml:space="preserve">Certification—application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complete an application packet obtained from the department health facilities division website at </w:t>
      </w:r>
      <w:hyperlink r:id="rId10">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 by mail from the Department of Inspections, Appeals, and Licensing, Adult Services Bureau, 6200 Park Avenue, Des Moines, Iowa 50321; or by telephone at 515.281.7272.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68.3(2)</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one copy of the completed application and all supporting documentation to the department at least 30 calendar days prior to the expected date of beginning operation.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481—68.4</w:t>
      </w:r>
      <w:r>
        <w:rPr>
          <w:rFonts w:ascii="Times New Roman" w:hAnsi="Times New Roman"/>
          <w:b/>
          <w:i w:val="false"/>
          <w:color w:val="000000"/>
          <w:sz w:val="22"/>
        </w:rPr>
        <w:t xml:space="preserve">(231B) </w:t>
      </w:r>
      <w:r>
        <w:rPr>
          <w:rFonts w:ascii="Times New Roman" w:hAnsi="Times New Roman"/>
          <w:b/>
          <w:i w:val="false"/>
          <w:color w:val="000000"/>
          <w:sz w:val="22"/>
        </w:rPr>
        <w:t xml:space="preserve">Certification—application content. </w:t>
      </w:r>
      <w:r>
        <w:rPr>
          <w:rFonts w:ascii="Times New Roman" w:hAnsi="Times New Roman"/>
          <w:b w:val="false"/>
          <w:i w:val="false"/>
          <w:color w:val="000000"/>
          <w:sz w:val="22"/>
        </w:rPr>
        <w:t>An application for certification or recertification of an EGH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68.4(1)</w:t>
      </w:r>
      <w:r>
        <w:rPr>
          <w:rFonts w:ascii="Times New Roman" w:hAnsi="Times New Roman"/>
          <w:b w:val="false"/>
          <w:i w:val="false"/>
          <w:color w:val="000000"/>
          <w:sz w:val="22"/>
        </w:rPr>
        <w:t> </w:t>
      </w:r>
      <w:r>
        <w:rPr>
          <w:rFonts w:ascii="Times New Roman" w:hAnsi="Times New Roman"/>
          <w:b w:val="false"/>
          <w:i w:val="false"/>
          <w:color w:val="000000"/>
          <w:sz w:val="22"/>
        </w:rPr>
        <w:t>The names, addresses, and percentage of stock, shares, partnership or other equity interest of all officers, members of the board of directors and trustees, as well as stockholders, partners or any individuals who have greater than a 10 percent equity interest in each of the following,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real estate owner or lessor;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management company responsible for the day-to-day operation of the program.</w:t>
      </w:r>
    </w:p>
    <w:p>
      <w:pPr>
        <w:spacing w:before="0" w:after="0"/>
        <w:ind w:left="120"/>
        <w:jc w:val="both"/>
      </w:pPr>
      <w:r>
        <w:rPr>
          <w:rFonts w:ascii="Times New Roman" w:hAnsi="Times New Roman"/>
          <w:b w:val="false"/>
          <w:i w:val="false"/>
          <w:color w:val="000000"/>
          <w:sz w:val="22"/>
        </w:rPr>
        <w:t>The program will notify the department of any changes in the list no later than ten working days after the effective date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disclosing whether the individuals listed in subrule </w:t>
      </w:r>
      <w:hyperlink r:id="rId11">
        <w:r>
          <w:rPr>
            <w:rStyle w:val="Hyperlink"/>
            <w:rFonts w:ascii="Times New Roman" w:hAnsi="Times New Roman"/>
            <w:b w:val="false"/>
            <w:i w:val="false"/>
            <w:color w:val="000000"/>
            <w:sz w:val="22"/>
          </w:rPr>
          <w:t>68.4(1)</w:t>
        </w:r>
      </w:hyperlink>
      <w:r>
        <w:rPr>
          <w:rFonts w:ascii="Times New Roman" w:hAnsi="Times New Roman"/>
          <w:b w:val="false"/>
          <w:i w:val="false"/>
          <w:color w:val="000000"/>
          <w:sz w:val="22"/>
        </w:rPr>
        <w:t xml:space="preserve"> have been convicted of a felony or an aggravated or serious misdemeanor or found to be in violation of the child abuse or dependent adult abuse laws of any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disclosing whether any of the individuals listed in subrule </w:t>
      </w:r>
      <w:hyperlink r:id="rId12">
        <w:r>
          <w:rPr>
            <w:rStyle w:val="Hyperlink"/>
            <w:rFonts w:ascii="Times New Roman" w:hAnsi="Times New Roman"/>
            <w:b w:val="false"/>
            <w:i w:val="false"/>
            <w:color w:val="000000"/>
            <w:sz w:val="22"/>
          </w:rPr>
          <w:t>68.4(1)</w:t>
        </w:r>
      </w:hyperlink>
      <w:r>
        <w:rPr>
          <w:rFonts w:ascii="Times New Roman" w:hAnsi="Times New Roman"/>
          <w:b w:val="false"/>
          <w:i w:val="false"/>
          <w:color w:val="000000"/>
          <w:sz w:val="22"/>
        </w:rPr>
        <w:t xml:space="preserve"> meet the criteria set out in Iowa Code section </w:t>
      </w:r>
      <w:hyperlink r:id="rId13">
        <w:r>
          <w:rPr>
            <w:rStyle w:val="Hyperlink"/>
            <w:rFonts w:ascii="Times New Roman" w:hAnsi="Times New Roman"/>
            <w:b w:val="false"/>
            <w:i w:val="false"/>
            <w:color w:val="000000"/>
            <w:sz w:val="22"/>
          </w:rPr>
          <w:t>231B.10(1)</w:t>
        </w:r>
      </w:hyperlink>
      <w:r>
        <w:rPr>
          <w:rFonts w:ascii="Times New Roman" w:hAnsi="Times New Roman"/>
          <w:b w:val="false"/>
          <w:i/>
          <w:color w:val="000000"/>
          <w:sz w:val="22"/>
        </w:rPr>
        <w:t>“g,”</w:t>
      </w:r>
      <w:r>
        <w:rPr>
          <w:rFonts w:ascii="Times New Roman" w:hAnsi="Times New Roman"/>
          <w:b w:val="false"/>
          <w:i w:val="false"/>
          <w:color w:val="000000"/>
          <w:sz w:val="22"/>
        </w:rPr>
        <w:t xml:space="preserve"> including for a licensed health care facility as defined in Iowa Code section </w:t>
      </w:r>
      <w:hyperlink r:id="rId14">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or licensed hospital as defined in Iowa Code section </w:t>
      </w:r>
      <w:hyperlink r:id="rId15">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68.4(5)</w:t>
      </w:r>
      <w:r>
        <w:rPr>
          <w:rFonts w:ascii="Times New Roman" w:hAnsi="Times New Roman"/>
          <w:b w:val="false"/>
          <w:i w:val="false"/>
          <w:color w:val="000000"/>
          <w:sz w:val="22"/>
        </w:rPr>
        <w:t> </w:t>
      </w:r>
      <w:r>
        <w:rPr>
          <w:rFonts w:ascii="Times New Roman" w:hAnsi="Times New Roman"/>
          <w:b w:val="false"/>
          <w:i w:val="false"/>
          <w:color w:val="000000"/>
          <w:sz w:val="22"/>
        </w:rPr>
        <w:t>The tenant occupancy agreement and all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68.4(6)</w:t>
      </w:r>
      <w:r>
        <w:rPr>
          <w:rFonts w:ascii="Times New Roman" w:hAnsi="Times New Roman"/>
          <w:b w:val="false"/>
          <w:i w:val="false"/>
          <w:color w:val="000000"/>
          <w:sz w:val="22"/>
        </w:rPr>
        <w:t> </w:t>
      </w:r>
      <w:r>
        <w:rPr>
          <w:rFonts w:ascii="Times New Roman" w:hAnsi="Times New Roman"/>
          <w:b w:val="false"/>
          <w:i w:val="false"/>
          <w:color w:val="000000"/>
          <w:sz w:val="22"/>
        </w:rPr>
        <w:t>If the program contracts for personal care or health-related care services from a certified home health agency, a mental health center or a licensed health care facility, a copy of that entity’s current license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68.4(7)</w:t>
      </w:r>
      <w:r>
        <w:rPr>
          <w:rFonts w:ascii="Times New Roman" w:hAnsi="Times New Roman"/>
          <w:b w:val="false"/>
          <w:i w:val="false"/>
          <w:color w:val="000000"/>
          <w:sz w:val="22"/>
        </w:rPr>
        <w:t> </w:t>
      </w:r>
      <w:r>
        <w:rPr>
          <w:rFonts w:ascii="Times New Roman" w:hAnsi="Times New Roman"/>
          <w:b w:val="false"/>
          <w:i w:val="false"/>
          <w:color w:val="000000"/>
          <w:sz w:val="22"/>
        </w:rPr>
        <w:t>A copy of the state license for the entity that provides food service, whether the entity is the program or an outside entity or a combination of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68.4(8)</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set forth in Iowa Code section </w:t>
      </w:r>
      <w:hyperlink r:id="rId16">
        <w:r>
          <w:rPr>
            <w:rStyle w:val="Hyperlink"/>
            <w:rFonts w:ascii="Times New Roman" w:hAnsi="Times New Roman"/>
            <w:b w:val="false"/>
            <w:i w:val="false"/>
            <w:color w:val="000000"/>
            <w:sz w:val="22"/>
          </w:rPr>
          <w:t>231B.17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481—68.5</w:t>
      </w:r>
      <w:r>
        <w:rPr>
          <w:rFonts w:ascii="Times New Roman" w:hAnsi="Times New Roman"/>
          <w:b/>
          <w:i w:val="false"/>
          <w:color w:val="000000"/>
          <w:sz w:val="22"/>
        </w:rPr>
        <w:t xml:space="preserve">(231B) </w:t>
      </w:r>
      <w:r>
        <w:rPr>
          <w:rFonts w:ascii="Times New Roman" w:hAnsi="Times New Roman"/>
          <w:b/>
          <w:i w:val="false"/>
          <w:color w:val="000000"/>
          <w:sz w:val="22"/>
        </w:rPr>
        <w:t xml:space="preserve">Initial certification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68.5(1)</w:t>
      </w:r>
      <w:r>
        <w:rPr>
          <w:rFonts w:ascii="Times New Roman" w:hAnsi="Times New Roman"/>
          <w:b w:val="false"/>
          <w:i w:val="false"/>
          <w:color w:val="000000"/>
          <w:sz w:val="22"/>
        </w:rPr>
        <w:t> </w:t>
      </w:r>
      <w:r>
        <w:rPr>
          <w:rFonts w:ascii="Times New Roman" w:hAnsi="Times New Roman"/>
          <w:b w:val="false"/>
          <w:i w:val="false"/>
          <w:color w:val="000000"/>
          <w:sz w:val="22"/>
        </w:rPr>
        <w:t>Upon receipt of all completed documentation, including fire safety bureau approval and structural and evacuation review approval, the department will determine whether or not the proposed program meets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68.5(2)</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the proposed program meets the requirements for certification, a provisional certification will be issued to the program to begin operation and accept tenants.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68.5(3)</w:t>
      </w:r>
      <w:r>
        <w:rPr>
          <w:rFonts w:ascii="Times New Roman" w:hAnsi="Times New Roman"/>
          <w:b w:val="false"/>
          <w:i w:val="false"/>
          <w:color w:val="000000"/>
          <w:sz w:val="22"/>
        </w:rPr>
        <w:t> </w:t>
      </w:r>
      <w:r>
        <w:rPr>
          <w:rFonts w:ascii="Times New Roman" w:hAnsi="Times New Roman"/>
          <w:b w:val="false"/>
          <w:i w:val="false"/>
          <w:color w:val="000000"/>
          <w:sz w:val="22"/>
        </w:rPr>
        <w:t>Within 180 calendar days following issuance of provisional certification, the department will conduct a monitoring to determine the program’s compliance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regulatory insufficiency is identified as a result of the monitoring, the process in rule </w:t>
      </w:r>
      <w:hyperlink r:id="rId17">
        <w:r>
          <w:rPr>
            <w:rStyle w:val="Hyperlink"/>
            <w:rFonts w:ascii="Times New Roman" w:hAnsi="Times New Roman"/>
            <w:b w:val="false"/>
            <w:i w:val="false"/>
            <w:color w:val="000000"/>
            <w:sz w:val="22"/>
          </w:rPr>
          <w:t>481—67.10</w:t>
        </w:r>
      </w:hyperlink>
      <w:r>
        <w:rPr>
          <w:rFonts w:ascii="Times New Roman" w:hAnsi="Times New Roman"/>
          <w:b w:val="false"/>
          <w:i w:val="false"/>
          <w:color w:val="000000"/>
          <w:sz w:val="22"/>
        </w:rPr>
        <w:t>(17A,231B,231C,231D) will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68.5(5)</w:t>
      </w:r>
      <w:r>
        <w:rPr>
          <w:rFonts w:ascii="Times New Roman" w:hAnsi="Times New Roman"/>
          <w:b w:val="false"/>
          <w:i w:val="false"/>
          <w:color w:val="000000"/>
          <w:sz w:val="22"/>
        </w:rPr>
        <w:t> </w:t>
      </w:r>
      <w:r>
        <w:rPr>
          <w:rFonts w:ascii="Times New Roman" w:hAnsi="Times New Roman"/>
          <w:b w:val="false"/>
          <w:i w:val="false"/>
          <w:color w:val="000000"/>
          <w:sz w:val="22"/>
        </w:rPr>
        <w:t>The department will make a final certification decision based on the results of the monitoring and review of an acceptable plan of correction.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68.5(6)</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program of a final certification decision within ten working days following the finalization of the monitoring report or receipt of an acceptable plan of correction,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68.5(7)</w:t>
      </w:r>
      <w:r>
        <w:rPr>
          <w:rFonts w:ascii="Times New Roman" w:hAnsi="Times New Roman"/>
          <w:b w:val="false"/>
          <w:i w:val="false"/>
          <w:color w:val="000000"/>
          <w:sz w:val="22"/>
        </w:rPr>
        <w:t> </w:t>
      </w:r>
      <w:r>
        <w:rPr>
          <w:rFonts w:ascii="Times New Roman" w:hAnsi="Times New Roman"/>
          <w:b w:val="false"/>
          <w:i w:val="false"/>
          <w:color w:val="000000"/>
          <w:sz w:val="22"/>
        </w:rPr>
        <w:t>If the decision is to continue certification, the department will issue a full two-year certification effective from the date of the original provisional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481—68.6</w:t>
      </w:r>
      <w:r>
        <w:rPr>
          <w:rFonts w:ascii="Times New Roman" w:hAnsi="Times New Roman"/>
          <w:b/>
          <w:i w:val="false"/>
          <w:color w:val="000000"/>
          <w:sz w:val="22"/>
        </w:rPr>
        <w:t xml:space="preserve">(231B) </w:t>
      </w:r>
      <w:r>
        <w:rPr>
          <w:rFonts w:ascii="Times New Roman" w:hAnsi="Times New Roman"/>
          <w:b/>
          <w:i w:val="false"/>
          <w:color w:val="000000"/>
          <w:sz w:val="22"/>
        </w:rPr>
        <w:t xml:space="preserve">Expiration of program certification. </w:t>
      </w:r>
      <w:r>
        <w:rPr>
          <w:rFonts w:ascii="Times New Roman" w:hAnsi="Times New Roman"/>
          <w:b w:val="false"/>
          <w:i w:val="false"/>
          <w:color w:val="000000"/>
          <w:sz w:val="22"/>
        </w:rPr>
        <w:t>Unless conditionally issued, suspended or revoked, certification of a program will expire at the end of the time period specified on the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481—68.7</w:t>
      </w:r>
      <w:r>
        <w:rPr>
          <w:rFonts w:ascii="Times New Roman" w:hAnsi="Times New Roman"/>
          <w:b/>
          <w:i w:val="false"/>
          <w:color w:val="000000"/>
          <w:sz w:val="22"/>
        </w:rPr>
        <w:t xml:space="preserve">(231B) </w:t>
      </w:r>
      <w:r>
        <w:rPr>
          <w:rFonts w:ascii="Times New Roman" w:hAnsi="Times New Roman"/>
          <w:b/>
          <w:i w:val="false"/>
          <w:color w:val="000000"/>
          <w:sz w:val="22"/>
        </w:rPr>
        <w:t xml:space="preserve">Recertification process. </w:t>
      </w:r>
      <w:r>
        <w:rPr>
          <w:rFonts w:ascii="Times New Roman" w:hAnsi="Times New Roman"/>
          <w:b w:val="false"/>
          <w:i w:val="false"/>
          <w:color w:val="000000"/>
          <w:sz w:val="22"/>
        </w:rPr>
        <w:t>To obtain recertification, a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68.7(1)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one copy of the completed application, including the information from rule </w:t>
      </w:r>
      <w:hyperlink r:id="rId18">
        <w:r>
          <w:rPr>
            <w:rStyle w:val="Hyperlink"/>
            <w:rFonts w:ascii="Times New Roman" w:hAnsi="Times New Roman"/>
            <w:b w:val="false"/>
            <w:i w:val="false"/>
            <w:color w:val="000000"/>
            <w:sz w:val="22"/>
          </w:rPr>
          <w:t>481—68.4</w:t>
        </w:r>
      </w:hyperlink>
      <w:r>
        <w:rPr>
          <w:rFonts w:ascii="Times New Roman" w:hAnsi="Times New Roman"/>
          <w:b w:val="false"/>
          <w:i w:val="false"/>
          <w:color w:val="000000"/>
          <w:sz w:val="22"/>
        </w:rPr>
        <w:t xml:space="preserve">(231B), associated documentation, and the recertification fee as listed in Iowa Code section </w:t>
      </w:r>
      <w:hyperlink r:id="rId19">
        <w:r>
          <w:rPr>
            <w:rStyle w:val="Hyperlink"/>
            <w:rFonts w:ascii="Times New Roman" w:hAnsi="Times New Roman"/>
            <w:b w:val="false"/>
            <w:i w:val="false"/>
            <w:color w:val="000000"/>
            <w:sz w:val="22"/>
          </w:rPr>
          <w:t>231B.17</w:t>
        </w:r>
      </w:hyperlink>
      <w:r>
        <w:rPr>
          <w:rFonts w:ascii="Times New Roman" w:hAnsi="Times New Roman"/>
          <w:b w:val="false"/>
          <w:i w:val="false"/>
          <w:color w:val="000000"/>
          <w:sz w:val="22"/>
        </w:rPr>
        <w:t xml:space="preserve"> to the department at the address stated in subrule </w:t>
      </w:r>
      <w:hyperlink r:id="rId20">
        <w:r>
          <w:rPr>
            <w:rStyle w:val="Hyperlink"/>
            <w:rFonts w:ascii="Times New Roman" w:hAnsi="Times New Roman"/>
            <w:b w:val="false"/>
            <w:i w:val="false"/>
            <w:color w:val="000000"/>
            <w:sz w:val="22"/>
          </w:rPr>
          <w:t>68.3(1)</w:t>
        </w:r>
      </w:hyperlink>
      <w:r>
        <w:rPr>
          <w:rFonts w:ascii="Times New Roman" w:hAnsi="Times New Roman"/>
          <w:b w:val="false"/>
          <w:i w:val="false"/>
          <w:color w:val="000000"/>
          <w:sz w:val="22"/>
        </w:rPr>
        <w:t xml:space="preserve"> at least 90 calendar days prior to the expiration of the program’s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68.7(2)</w:t>
      </w:r>
      <w:r>
        <w:rPr>
          <w:rFonts w:ascii="Times New Roman" w:hAnsi="Times New Roman"/>
          <w:b w:val="false"/>
          <w:i w:val="false"/>
          <w:color w:val="000000"/>
          <w:sz w:val="22"/>
        </w:rPr>
        <w:t> </w:t>
      </w:r>
      <w:r>
        <w:rPr>
          <w:rFonts w:ascii="Times New Roman" w:hAnsi="Times New Roman"/>
          <w:b w:val="false"/>
          <w:i w:val="false"/>
          <w:color w:val="000000"/>
          <w:sz w:val="22"/>
        </w:rPr>
        <w:t>Submit additional documentation that each of the following has been inspected and found to be maintained in conformance with the manufacturer’s recommendations and nationally recognized standards: heating system, cooling system, water heater, electrical system, plumbing, sewage system, artificial lighting, and ventilation system; and, if located on site, garbage disposal, kitchen appliances, washing machines and dryers, and elevators.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481—68.8</w:t>
      </w:r>
      <w:r>
        <w:rPr>
          <w:rFonts w:ascii="Times New Roman" w:hAnsi="Times New Roman"/>
          <w:b/>
          <w:i w:val="false"/>
          <w:color w:val="000000"/>
          <w:sz w:val="22"/>
        </w:rPr>
        <w:t xml:space="preserve">(231B) </w:t>
      </w:r>
      <w:r>
        <w:rPr>
          <w:rFonts w:ascii="Times New Roman" w:hAnsi="Times New Roman"/>
          <w:b/>
          <w:i w:val="false"/>
          <w:color w:val="000000"/>
          <w:sz w:val="22"/>
        </w:rPr>
        <w:t xml:space="preserve">Notification of recertification.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68.8(1)</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application and associated documentation and fees. If the application is incomplete, the department will contact the program to request the additional information. After all finalized documentation is received, including  fire safety bureau approval, the department will determine the program’s compliance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68.8(2)</w:t>
      </w:r>
      <w:r>
        <w:rPr>
          <w:rFonts w:ascii="Times New Roman" w:hAnsi="Times New Roman"/>
          <w:b w:val="false"/>
          <w:i w:val="false"/>
          <w:color w:val="000000"/>
          <w:sz w:val="22"/>
        </w:rPr>
        <w:t> </w:t>
      </w:r>
      <w:r>
        <w:rPr>
          <w:rFonts w:ascii="Times New Roman" w:hAnsi="Times New Roman"/>
          <w:b w:val="false"/>
          <w:i w:val="false"/>
          <w:color w:val="000000"/>
          <w:sz w:val="22"/>
        </w:rPr>
        <w:t>If the facility is in good standing, the department will issue the program a two-year certification effective from the date of the expiration of the previous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68.8(3)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decision is to deny recertification, the department shall issue a notice of denial and provide the program the opportunity for a hearing pursuant to rule </w:t>
      </w:r>
      <w:hyperlink r:id="rId21">
        <w:r>
          <w:rPr>
            <w:rStyle w:val="Hyperlink"/>
            <w:rFonts w:ascii="Times New Roman" w:hAnsi="Times New Roman"/>
            <w:b w:val="false"/>
            <w:i w:val="false"/>
            <w:color w:val="000000"/>
            <w:sz w:val="22"/>
          </w:rPr>
          <w:t>481—67.14</w:t>
        </w:r>
      </w:hyperlink>
      <w:r>
        <w:rPr>
          <w:rFonts w:ascii="Times New Roman" w:hAnsi="Times New Roman"/>
          <w:b w:val="false"/>
          <w:i w:val="false"/>
          <w:color w:val="000000"/>
          <w:sz w:val="22"/>
        </w:rPr>
        <w:t>(17A,231B,231C,231D).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481—68.9</w:t>
      </w:r>
      <w:r>
        <w:rPr>
          <w:rFonts w:ascii="Times New Roman" w:hAnsi="Times New Roman"/>
          <w:b/>
          <w:i w:val="false"/>
          <w:color w:val="000000"/>
          <w:sz w:val="22"/>
        </w:rPr>
        <w:t xml:space="preserve">(231B) </w:t>
      </w:r>
      <w:r>
        <w:rPr>
          <w:rFonts w:ascii="Times New Roman" w:hAnsi="Times New Roman"/>
          <w:b/>
          <w:i w:val="false"/>
          <w:color w:val="000000"/>
          <w:sz w:val="22"/>
        </w:rPr>
        <w:t xml:space="preserve">Listing of all certified programs. </w:t>
      </w:r>
      <w:r>
        <w:rPr>
          <w:rFonts w:ascii="Times New Roman" w:hAnsi="Times New Roman"/>
          <w:b w:val="false"/>
          <w:i w:val="false"/>
          <w:color w:val="000000"/>
          <w:sz w:val="22"/>
        </w:rPr>
        <w:t xml:space="preserve">The department will maintain a list of all certified programs, which is available online at </w:t>
      </w:r>
      <w:hyperlink r:id="rId22">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481—68.10</w:t>
      </w:r>
      <w:r>
        <w:rPr>
          <w:rFonts w:ascii="Times New Roman" w:hAnsi="Times New Roman"/>
          <w:b/>
          <w:i w:val="false"/>
          <w:color w:val="000000"/>
          <w:sz w:val="22"/>
        </w:rPr>
        <w:t xml:space="preserve">(231B) </w:t>
      </w:r>
      <w:r>
        <w:rPr>
          <w:rFonts w:ascii="Times New Roman" w:hAnsi="Times New Roman"/>
          <w:b/>
          <w:i w:val="false"/>
          <w:color w:val="000000"/>
          <w:sz w:val="22"/>
        </w:rPr>
        <w:t xml:space="preserve">Change of ownership—notification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68.10(1)</w:t>
      </w:r>
      <w:r>
        <w:rPr>
          <w:rFonts w:ascii="Times New Roman" w:hAnsi="Times New Roman"/>
          <w:b w:val="false"/>
          <w:i w:val="false"/>
          <w:color w:val="000000"/>
          <w:sz w:val="22"/>
        </w:rPr>
        <w:t> </w:t>
      </w:r>
      <w:r>
        <w:rPr>
          <w:rFonts w:ascii="Times New Roman" w:hAnsi="Times New Roman"/>
          <w:b w:val="false"/>
          <w:i w:val="false"/>
          <w:color w:val="000000"/>
          <w:sz w:val="22"/>
        </w:rPr>
        <w:t>Certification, unless conditionally issued, suspended or revoked, may be transferable. If the program’s certification has been conditionally issued, the department must approve a change of ownership prior to the transfer of the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68.10(2)</w:t>
      </w:r>
      <w:r>
        <w:rPr>
          <w:rFonts w:ascii="Times New Roman" w:hAnsi="Times New Roman"/>
          <w:b w:val="false"/>
          <w:i w:val="false"/>
          <w:color w:val="000000"/>
          <w:sz w:val="22"/>
        </w:rPr>
        <w:t> </w:t>
      </w:r>
      <w:r>
        <w:rPr>
          <w:rFonts w:ascii="Times New Roman" w:hAnsi="Times New Roman"/>
          <w:b w:val="false"/>
          <w:i w:val="false"/>
          <w:color w:val="000000"/>
          <w:sz w:val="22"/>
        </w:rPr>
        <w:t>In order to transfer certification,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requirements of the rules, regulations and standards contained in Iowa Code chapter </w:t>
      </w:r>
      <w:hyperlink r:id="rId23">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30 days prior to the change of ownership of the program, provide application and supporting documents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68.10(3)</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 monitoring within 90 days following a change in the program’s ownership to ensure that the program complies with applicable requirements. If a regulatory insufficiency is found, the department will take any necessary enforcement action authorized by applicable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481—68.11</w:t>
      </w:r>
      <w:r>
        <w:rPr>
          <w:rFonts w:ascii="Times New Roman" w:hAnsi="Times New Roman"/>
          <w:b/>
          <w:i w:val="false"/>
          <w:color w:val="000000"/>
          <w:sz w:val="22"/>
        </w:rPr>
        <w:t xml:space="preserve">(231B) </w:t>
      </w:r>
      <w:r>
        <w:rPr>
          <w:rFonts w:ascii="Times New Roman" w:hAnsi="Times New Roman"/>
          <w:b/>
          <w:i w:val="false"/>
          <w:color w:val="000000"/>
          <w:sz w:val="22"/>
        </w:rPr>
        <w:t xml:space="preserve">Cessation of program operation that includes seeking decertification.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68.11(1)</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at least 90 days in advance of cessation, unless there is some type of emergency, written notification to the department and the tenant advocate of the date on which the program will cease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68.11(2)</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a program decides to cease operation, the program shall submit a plan to the department and make arrangements for the safe and orderly transfer or transition of all tenants within the 90-day period specified by subrule </w:t>
      </w:r>
      <w:hyperlink r:id="rId25">
        <w:r>
          <w:rPr>
            <w:rStyle w:val="Hyperlink"/>
            <w:rFonts w:ascii="Times New Roman" w:hAnsi="Times New Roman"/>
            <w:b w:val="false"/>
            <w:i w:val="false"/>
            <w:color w:val="000000"/>
            <w:sz w:val="22"/>
          </w:rPr>
          <w:t>68.11(1)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68.11(3)</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 monitoring during the 90-day period to ensure the safety of tenants during the transfer process or transition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68.11(4)</w:t>
      </w:r>
      <w:r>
        <w:rPr>
          <w:rFonts w:ascii="Times New Roman" w:hAnsi="Times New Roman"/>
          <w:b w:val="false"/>
          <w:i w:val="false"/>
          <w:color w:val="000000"/>
          <w:sz w:val="22"/>
        </w:rPr>
        <w:t> </w:t>
      </w:r>
      <w:r>
        <w:rPr>
          <w:rFonts w:ascii="Times New Roman" w:hAnsi="Times New Roman"/>
          <w:b w:val="false"/>
          <w:i w:val="false"/>
          <w:color w:val="000000"/>
          <w:sz w:val="22"/>
        </w:rPr>
        <w:t>When a program ceases operation, tenant advocates shall be allowed by the program to privately meet with tenants to provide education and service options.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481—68.12</w:t>
      </w:r>
      <w:r>
        <w:rPr>
          <w:rFonts w:ascii="Times New Roman" w:hAnsi="Times New Roman"/>
          <w:b/>
          <w:i w:val="false"/>
          <w:color w:val="000000"/>
          <w:sz w:val="22"/>
        </w:rPr>
        <w:t xml:space="preserve">(231B) </w:t>
      </w:r>
      <w:r>
        <w:rPr>
          <w:rFonts w:ascii="Times New Roman" w:hAnsi="Times New Roman"/>
          <w:b/>
          <w:i w:val="false"/>
          <w:color w:val="000000"/>
          <w:sz w:val="22"/>
        </w:rPr>
        <w:t xml:space="preserve">Occupancy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68.12(1)</w:t>
      </w:r>
      <w:r>
        <w:rPr>
          <w:rFonts w:ascii="Times New Roman" w:hAnsi="Times New Roman"/>
          <w:b w:val="false"/>
          <w:i w:val="false"/>
          <w:color w:val="000000"/>
          <w:sz w:val="22"/>
        </w:rPr>
        <w:t> </w:t>
      </w:r>
      <w:r>
        <w:rPr>
          <w:rFonts w:ascii="Times New Roman" w:hAnsi="Times New Roman"/>
          <w:b w:val="false"/>
          <w:i w:val="false"/>
          <w:color w:val="000000"/>
          <w:sz w:val="22"/>
        </w:rPr>
        <w:t>The occupancy agreement shall be in 12-point type or larger and written in plain language using commonly understood terms that are easy for the tenant or the tenant’s legal representative to understand.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68.12(2)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Iowa Code section </w:t>
      </w:r>
      <w:hyperlink r:id="rId26">
        <w:r>
          <w:rPr>
            <w:rStyle w:val="Hyperlink"/>
            <w:rFonts w:ascii="Times New Roman" w:hAnsi="Times New Roman"/>
            <w:b w:val="false"/>
            <w:i w:val="false"/>
            <w:color w:val="000000"/>
            <w:sz w:val="22"/>
          </w:rPr>
          <w:t>231B.5</w:t>
        </w:r>
      </w:hyperlink>
      <w:r>
        <w:rPr>
          <w:rFonts w:ascii="Times New Roman" w:hAnsi="Times New Roman"/>
          <w:b w:val="false"/>
          <w:i w:val="false"/>
          <w:color w:val="000000"/>
          <w:sz w:val="22"/>
        </w:rPr>
        <w:t>, the written occupancy agreement shall include the following information in the body of the agreement or in the supporting documents and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filing a complaint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the office of the tenant advocate.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reporting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program’s statement on tenants’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that the program will notify the tenant at least 90 days in advance of any planned program cessation, except in cases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program’s admission and transfer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68.12(3)</w:t>
      </w:r>
      <w:r>
        <w:rPr>
          <w:rFonts w:ascii="Times New Roman" w:hAnsi="Times New Roman"/>
          <w:b w:val="false"/>
          <w:i w:val="false"/>
          <w:color w:val="000000"/>
          <w:sz w:val="22"/>
        </w:rPr>
        <w:t> </w:t>
      </w:r>
      <w:r>
        <w:rPr>
          <w:rFonts w:ascii="Times New Roman" w:hAnsi="Times New Roman"/>
          <w:b w:val="false"/>
          <w:i w:val="false"/>
          <w:color w:val="000000"/>
          <w:sz w:val="22"/>
        </w:rPr>
        <w:t>The occupancy agreement shall be reviewed and updated as necessary to reflect any change in services or financial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68.12(4)</w:t>
      </w:r>
      <w:r>
        <w:rPr>
          <w:rFonts w:ascii="Times New Roman" w:hAnsi="Times New Roman"/>
          <w:b w:val="false"/>
          <w:i w:val="false"/>
          <w:color w:val="000000"/>
          <w:sz w:val="22"/>
        </w:rPr>
        <w:t> </w:t>
      </w:r>
      <w:r>
        <w:rPr>
          <w:rFonts w:ascii="Times New Roman" w:hAnsi="Times New Roman"/>
          <w:b w:val="false"/>
          <w:i w:val="false"/>
          <w:color w:val="000000"/>
          <w:sz w:val="22"/>
        </w:rPr>
        <w:t>A copy of the occupancy agreement shall be provided to the tenant or the tenant’s legal representative, if any, and a copy kept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68.12(5)</w:t>
      </w:r>
      <w:r>
        <w:rPr>
          <w:rFonts w:ascii="Times New Roman" w:hAnsi="Times New Roman"/>
          <w:b w:val="false"/>
          <w:i w:val="false"/>
          <w:color w:val="000000"/>
          <w:sz w:val="22"/>
        </w:rPr>
        <w:t> </w:t>
      </w:r>
      <w:r>
        <w:rPr>
          <w:rFonts w:ascii="Times New Roman" w:hAnsi="Times New Roman"/>
          <w:b w:val="false"/>
          <w:i w:val="false"/>
          <w:color w:val="000000"/>
          <w:sz w:val="22"/>
        </w:rPr>
        <w:t>A copy of the most current occupancy agreement shall be made available to the general public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481—68.13</w:t>
      </w:r>
      <w:r>
        <w:rPr>
          <w:rFonts w:ascii="Times New Roman" w:hAnsi="Times New Roman"/>
          <w:b/>
          <w:i w:val="false"/>
          <w:color w:val="000000"/>
          <w:sz w:val="22"/>
        </w:rPr>
        <w:t xml:space="preserve">(231B) </w:t>
      </w:r>
      <w:r>
        <w:rPr>
          <w:rFonts w:ascii="Times New Roman" w:hAnsi="Times New Roman"/>
          <w:b/>
          <w:i w:val="false"/>
          <w:color w:val="000000"/>
          <w:sz w:val="22"/>
        </w:rPr>
        <w:t xml:space="preserve">Evaluation of tenant.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68.13(1)</w:t>
      </w:r>
      <w:r>
        <w:rPr>
          <w:rFonts w:ascii="Times New Roman" w:hAnsi="Times New Roman"/>
          <w:b w:val="false"/>
          <w:i w:val="false"/>
          <w:color w:val="000000"/>
          <w:sz w:val="22"/>
        </w:rPr>
        <w:t> </w:t>
      </w:r>
      <w:r>
        <w:rPr>
          <w:rFonts w:ascii="Times New Roman" w:hAnsi="Times New Roman"/>
          <w:b w:val="false"/>
          <w:i/>
          <w:color w:val="000000"/>
          <w:sz w:val="22"/>
        </w:rPr>
        <w:t xml:space="preserve">Evaluation prior to occupancy. </w:t>
      </w:r>
      <w:r>
        <w:rPr>
          <w:rFonts w:ascii="Times New Roman" w:hAnsi="Times New Roman"/>
          <w:b w:val="false"/>
          <w:i w:val="false"/>
          <w:color w:val="000000"/>
          <w:sz w:val="22"/>
        </w:rPr>
        <w:t>A program shall evaluate each prospective tenant’s functional, cognitive and health status prior to the tenant’s signing the occupancy agreement and becoming a household occupant to determine the tenant’s eligibility for the program, including whether the services needed are available. The cognitive evaluation shall utilize a scored, objective tool. When the score from the cognitive evaluation indicates moderate cognitive decline and risk, the Global Deterioration Scale shall be used at all subsequent intervals, if applicable. If the tenant subsequently returns to the tenant’s mildly cognitively impaired state, the program may discontinue the GDS and revert to a scored cognitive screening tool. The evaluation shall be conducted by a health care professional, human service professional, or a licensed practical nurse via nurse delegation.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68.13(2)</w:t>
      </w:r>
      <w:r>
        <w:rPr>
          <w:rFonts w:ascii="Times New Roman" w:hAnsi="Times New Roman"/>
          <w:b w:val="false"/>
          <w:i w:val="false"/>
          <w:color w:val="000000"/>
          <w:sz w:val="22"/>
        </w:rPr>
        <w:t> </w:t>
      </w:r>
      <w:r>
        <w:rPr>
          <w:rFonts w:ascii="Times New Roman" w:hAnsi="Times New Roman"/>
          <w:b w:val="false"/>
          <w:i/>
          <w:color w:val="000000"/>
          <w:sz w:val="22"/>
        </w:rPr>
        <w:t xml:space="preserve">Evaluation within 30 days of occupancy and with significant change. </w:t>
      </w:r>
      <w:r>
        <w:rPr>
          <w:rFonts w:ascii="Times New Roman" w:hAnsi="Times New Roman"/>
          <w:b w:val="false"/>
          <w:i w:val="false"/>
          <w:color w:val="000000"/>
          <w:sz w:val="22"/>
        </w:rPr>
        <w:t>A program shall evaluate each tenant’s functional, cognitive and health status within 30 days of occupancy. A program shall evaluate each tenant’s functional, cognitive and health status as needed with significant change, but not less than annually, to determine the tenant’s continued eligibility for the program and to determine any changes to services needed. The evaluation shall be conducted by a health care professional, human service professional, or a licensed practical nurse via nurse delegation.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481—68.14</w:t>
      </w:r>
      <w:r>
        <w:rPr>
          <w:rFonts w:ascii="Times New Roman" w:hAnsi="Times New Roman"/>
          <w:b/>
          <w:i w:val="false"/>
          <w:color w:val="000000"/>
          <w:sz w:val="22"/>
        </w:rPr>
        <w:t xml:space="preserve">(231B) </w:t>
      </w:r>
      <w:r>
        <w:rPr>
          <w:rFonts w:ascii="Times New Roman" w:hAnsi="Times New Roman"/>
          <w:b/>
          <w:i w:val="false"/>
          <w:color w:val="000000"/>
          <w:sz w:val="22"/>
        </w:rPr>
        <w:t xml:space="preserve">Criteria for admission and retention of tenants.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68.14(1)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not be admitted or retained. </w:t>
      </w:r>
      <w:r>
        <w:rPr>
          <w:rFonts w:ascii="Times New Roman" w:hAnsi="Times New Roman"/>
          <w:b w:val="false"/>
          <w:i w:val="false"/>
          <w:color w:val="000000"/>
          <w:sz w:val="22"/>
        </w:rPr>
        <w:t>A program shall not knowingly admit or retain a tenant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bed-bound;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Requires routine, one-person assistance with standing, transfer or evacuation;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dangerous to self or other tenants or staff, including but not limited to a tenant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Despite intervention chronically elopes, is sexually, verbally or physically aggressive or abusive;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Displays behavior that places another tenant at risk;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in an acute stage of alcoholism, drug addiction, or uncontrolled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 under the age of 18;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Requires more than part-time or intermittent health-related care;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unmanageable incontinence on a routine basis despite an individualized toileting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Is medically unstable;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Requires maximal assistance with activities of daily living;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Is physically or mentally unable to immediately and without aid of another travel a normal path to safety, including the ascent and descent of stairs from the tenant’s bedroom or bathroom.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68.14(2)</w:t>
      </w:r>
      <w:r>
        <w:rPr>
          <w:rFonts w:ascii="Times New Roman" w:hAnsi="Times New Roman"/>
          <w:b w:val="false"/>
          <w:i w:val="false"/>
          <w:color w:val="000000"/>
          <w:sz w:val="22"/>
        </w:rPr>
        <w:t> </w:t>
      </w:r>
      <w:r>
        <w:rPr>
          <w:rFonts w:ascii="Times New Roman" w:hAnsi="Times New Roman"/>
          <w:b w:val="false"/>
          <w:i/>
          <w:color w:val="000000"/>
          <w:sz w:val="22"/>
        </w:rPr>
        <w:t xml:space="preserve">Disclosure of additional occupancy and transfer criteria. </w:t>
      </w:r>
      <w:r>
        <w:rPr>
          <w:rFonts w:ascii="Times New Roman" w:hAnsi="Times New Roman"/>
          <w:b w:val="false"/>
          <w:i w:val="false"/>
          <w:color w:val="000000"/>
          <w:sz w:val="22"/>
        </w:rPr>
        <w:t>A program may have additional occupancy or transfer criteria if the criteria are disclosed in the written occupancy agreement prior to the tenant’s occupancy.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68.14(3)</w:t>
      </w:r>
      <w:r>
        <w:rPr>
          <w:rFonts w:ascii="Times New Roman" w:hAnsi="Times New Roman"/>
          <w:b w:val="false"/>
          <w:i w:val="false"/>
          <w:color w:val="000000"/>
          <w:sz w:val="22"/>
        </w:rPr>
        <w:t> </w:t>
      </w:r>
      <w:r>
        <w:rPr>
          <w:rFonts w:ascii="Times New Roman" w:hAnsi="Times New Roman"/>
          <w:b w:val="false"/>
          <w:i/>
          <w:color w:val="000000"/>
          <w:sz w:val="22"/>
        </w:rPr>
        <w:t xml:space="preserve">Assistance with transfer from the program. </w:t>
      </w:r>
      <w:r>
        <w:rPr>
          <w:rFonts w:ascii="Times New Roman" w:hAnsi="Times New Roman"/>
          <w:b w:val="false"/>
          <w:i w:val="false"/>
          <w:color w:val="000000"/>
          <w:sz w:val="22"/>
        </w:rPr>
        <w:t>A program shall assist a tenant and the tenant’s legal representative, if applicable, to ensure a safe and orderly transfer from the program when the tenant exceeds the program’s criteria for admission and retention.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481—68.15</w:t>
      </w:r>
      <w:r>
        <w:rPr>
          <w:rFonts w:ascii="Times New Roman" w:hAnsi="Times New Roman"/>
          <w:b/>
          <w:i w:val="false"/>
          <w:color w:val="000000"/>
          <w:sz w:val="22"/>
        </w:rPr>
        <w:t xml:space="preserve">(231B) </w:t>
      </w:r>
      <w:r>
        <w:rPr>
          <w:rFonts w:ascii="Times New Roman" w:hAnsi="Times New Roman"/>
          <w:b/>
          <w:i w:val="false"/>
          <w:color w:val="000000"/>
          <w:sz w:val="22"/>
        </w:rPr>
        <w:t xml:space="preserve">Involuntary transfer from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68.15(1)</w:t>
      </w:r>
      <w:r>
        <w:rPr>
          <w:rFonts w:ascii="Times New Roman" w:hAnsi="Times New Roman"/>
          <w:b w:val="false"/>
          <w:i w:val="false"/>
          <w:color w:val="000000"/>
          <w:sz w:val="22"/>
        </w:rPr>
        <w:t> </w:t>
      </w:r>
      <w:r>
        <w:rPr>
          <w:rFonts w:ascii="Times New Roman" w:hAnsi="Times New Roman"/>
          <w:b w:val="false"/>
          <w:i/>
          <w:color w:val="000000"/>
          <w:sz w:val="22"/>
        </w:rPr>
        <w:t xml:space="preserve">Program initiation of transfer. </w:t>
      </w:r>
      <w:r>
        <w:rPr>
          <w:rFonts w:ascii="Times New Roman" w:hAnsi="Times New Roman"/>
          <w:b w:val="false"/>
          <w:i w:val="false"/>
          <w:color w:val="000000"/>
          <w:sz w:val="22"/>
        </w:rPr>
        <w:t xml:space="preserve">The program shall comply with Iowa Code section </w:t>
      </w:r>
      <w:hyperlink r:id="rId27">
        <w:r>
          <w:rPr>
            <w:rStyle w:val="Hyperlink"/>
            <w:rFonts w:ascii="Times New Roman" w:hAnsi="Times New Roman"/>
            <w:b w:val="false"/>
            <w:i w:val="false"/>
            <w:color w:val="000000"/>
            <w:sz w:val="22"/>
          </w:rPr>
          <w:t>231B.6</w:t>
        </w:r>
      </w:hyperlink>
      <w:r>
        <w:rPr>
          <w:rFonts w:ascii="Times New Roman" w:hAnsi="Times New Roman"/>
          <w:b w:val="false"/>
          <w:i w:val="false"/>
          <w:color w:val="000000"/>
          <w:sz w:val="22"/>
        </w:rPr>
        <w:t xml:space="preserve"> and provide notification to the tenant advocate by certified mail and the tenant’s treating physician,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68.15(2)</w:t>
      </w:r>
      <w:r>
        <w:rPr>
          <w:rFonts w:ascii="Times New Roman" w:hAnsi="Times New Roman"/>
          <w:b w:val="false"/>
          <w:i w:val="false"/>
          <w:color w:val="000000"/>
          <w:sz w:val="22"/>
        </w:rPr>
        <w:t> </w:t>
      </w:r>
      <w:r>
        <w:rPr>
          <w:rFonts w:ascii="Times New Roman" w:hAnsi="Times New Roman"/>
          <w:b w:val="false"/>
          <w:i/>
          <w:color w:val="000000"/>
          <w:sz w:val="22"/>
        </w:rPr>
        <w:t xml:space="preserve">Transfer pursuant to results of monitoring or complaint or program-reported incident investigation by the department. </w:t>
      </w:r>
      <w:r>
        <w:rPr>
          <w:rFonts w:ascii="Times New Roman" w:hAnsi="Times New Roman"/>
          <w:b w:val="false"/>
          <w:i w:val="false"/>
          <w:color w:val="000000"/>
          <w:sz w:val="22"/>
        </w:rPr>
        <w:t>If one or more tenants are identified as exceeding the admission and retention criteria for tenants and transferred as a result of a monitoring or a complaint or program-reported incident investigation conducted by the department,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the program. </w:t>
      </w:r>
      <w:r>
        <w:rPr>
          <w:rFonts w:ascii="Times New Roman" w:hAnsi="Times New Roman"/>
          <w:b w:val="false"/>
          <w:i w:val="false"/>
          <w:color w:val="000000"/>
          <w:sz w:val="22"/>
        </w:rPr>
        <w:t>Within 20 working days of the monitoring or complaint or program-reported incident investigation, the department will notify the program, in writing, of the identification of any tenant who exceeds admission and retention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others. </w:t>
      </w:r>
      <w:r>
        <w:rPr>
          <w:rFonts w:ascii="Times New Roman" w:hAnsi="Times New Roman"/>
          <w:b w:val="false"/>
          <w:i w:val="false"/>
          <w:color w:val="000000"/>
          <w:sz w:val="22"/>
        </w:rPr>
        <w:t>Each identified tenant, the tenant’s legal representative, if applicable, and other providers of services to the tenant will be notified of their opportunity to provide responses within ten days of receipt of the notice, including: specific input, written comment, information, and documentation directly addressing any agreement or disagreement with the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Program agreement with the department’s finding. </w:t>
      </w:r>
      <w:r>
        <w:rPr>
          <w:rFonts w:ascii="Times New Roman" w:hAnsi="Times New Roman"/>
          <w:b w:val="false"/>
          <w:i w:val="false"/>
          <w:color w:val="000000"/>
          <w:sz w:val="22"/>
        </w:rPr>
        <w:t xml:space="preserve">If the program agrees with the department’s finding and the program begins involuntary transfer proceedings, the program’s internal appeal process in subrule </w:t>
      </w:r>
      <w:hyperlink r:id="rId28">
        <w:r>
          <w:rPr>
            <w:rStyle w:val="Hyperlink"/>
            <w:rFonts w:ascii="Times New Roman" w:hAnsi="Times New Roman"/>
            <w:b w:val="false"/>
            <w:i w:val="false"/>
            <w:color w:val="000000"/>
            <w:sz w:val="22"/>
          </w:rPr>
          <w:t>68.15(1)</w:t>
        </w:r>
      </w:hyperlink>
      <w:r>
        <w:rPr>
          <w:rFonts w:ascii="Times New Roman" w:hAnsi="Times New Roman"/>
          <w:b w:val="false"/>
          <w:i w:val="false"/>
          <w:color w:val="000000"/>
          <w:sz w:val="22"/>
        </w:rPr>
        <w:t xml:space="preserve"> will be utilized for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Program disagreement with the department’s finding. </w:t>
      </w:r>
      <w:r>
        <w:rPr>
          <w:rFonts w:ascii="Times New Roman" w:hAnsi="Times New Roman"/>
          <w:b w:val="false"/>
          <w:i w:val="false"/>
          <w:color w:val="000000"/>
          <w:sz w:val="22"/>
        </w:rPr>
        <w:t xml:space="preserve">If the program does not agree with the department’s finding that the tenant exceeds admission and retention criteria, the program may collect and submit all responses to the department, within ten working days of the receipt of the notice, including those from other interested parties. In the program’s response, the program will identify the tenant, list the known responses from others, and note the program’s agreement or disagreement with the responses from others. Submission of a response does not eliminate the applicable requirements including submission of a plan of correction under </w:t>
      </w:r>
      <w:hyperlink r:id="rId29">
        <w:r>
          <w:rPr>
            <w:rStyle w:val="Hyperlink"/>
            <w:rFonts w:ascii="Times New Roman" w:hAnsi="Times New Roman"/>
            <w:b w:val="false"/>
            <w:i w:val="false"/>
            <w:color w:val="000000"/>
            <w:sz w:val="22"/>
          </w:rPr>
          <w:t>481—subrule 67.13(3)</w:t>
        </w:r>
      </w:hyperlink>
      <w:r>
        <w:rPr>
          <w:rFonts w:ascii="Times New Roman" w:hAnsi="Times New Roman"/>
          <w:b w:val="false"/>
          <w:i w:val="false"/>
          <w:color w:val="000000"/>
          <w:sz w:val="22"/>
        </w:rPr>
        <w:t>. Other persons may also submit information directly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Consideration of response. Within ten working days of receipt of the program’s response for each identified tenant, the department will make a final finding regarding the continued retention of a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Amending the regulatory insufficiency. If the department’s determination is to amend the regulatory insufficiency based on the response, the department will modify the report of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Retaining regulatory insufficiency. If the department retains the regulatory insufficiency, the department will review the plan of correction in accordance with this chapter and </w:t>
      </w:r>
      <w:hyperlink r:id="rId30">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The department will notify the program of the opportunity to appeal the report findings as they relate to the admission and retention decision. The department will provide to the tenant or the tenant’s legal representative the contact information for the tenant advocate. A copy of the final report will be sent to the tenant advocate.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Effect of the filing of an appeal. If an appeal is filed, the tenant who exceeds admission and retention criteria will be allowed to continue living in the EGH until all administrative appeals have been exhausted. Appeals filed that relate to the tenant’s exceeding admission and retention criteria will be heard within 30 days of receipt, and appropriate services to meet the tenant’s needs will be provided during that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for waiver of criteria for retention of a tenant in a program. To allow a tenant to remain in the program, the program may request a waiver of criteria for retention of a tenant pursuant to rule </w:t>
      </w:r>
      <w:hyperlink r:id="rId31">
        <w:r>
          <w:rPr>
            <w:rStyle w:val="Hyperlink"/>
            <w:rFonts w:ascii="Times New Roman" w:hAnsi="Times New Roman"/>
            <w:b w:val="false"/>
            <w:i w:val="false"/>
            <w:color w:val="000000"/>
            <w:sz w:val="22"/>
          </w:rPr>
          <w:t>481—67.7</w:t>
        </w:r>
      </w:hyperlink>
      <w:r>
        <w:rPr>
          <w:rFonts w:ascii="Times New Roman" w:hAnsi="Times New Roman"/>
          <w:b w:val="false"/>
          <w:i w:val="false"/>
          <w:color w:val="000000"/>
          <w:sz w:val="22"/>
        </w:rPr>
        <w:t>(231B,231C,231D) from the department within ten working days of the receipt of the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481—68.16</w:t>
      </w:r>
      <w:r>
        <w:rPr>
          <w:rFonts w:ascii="Times New Roman" w:hAnsi="Times New Roman"/>
          <w:b/>
          <w:i w:val="false"/>
          <w:color w:val="000000"/>
          <w:sz w:val="22"/>
        </w:rPr>
        <w:t xml:space="preserve">(231B) </w:t>
      </w:r>
      <w:r>
        <w:rPr>
          <w:rFonts w:ascii="Times New Roman" w:hAnsi="Times New Roman"/>
          <w:b/>
          <w:i w:val="false"/>
          <w:color w:val="000000"/>
          <w:sz w:val="22"/>
        </w:rPr>
        <w:t xml:space="preserve">Tenant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68.16(1)</w:t>
      </w:r>
      <w:r>
        <w:rPr>
          <w:rFonts w:ascii="Times New Roman" w:hAnsi="Times New Roman"/>
          <w:b w:val="false"/>
          <w:i w:val="false"/>
          <w:color w:val="000000"/>
          <w:sz w:val="22"/>
        </w:rPr>
        <w:t> </w:t>
      </w:r>
      <w:r>
        <w:rPr>
          <w:rFonts w:ascii="Times New Roman" w:hAnsi="Times New Roman"/>
          <w:b w:val="false"/>
          <w:i w:val="false"/>
          <w:color w:val="000000"/>
          <w:sz w:val="22"/>
        </w:rPr>
        <w:t>Documentation for each tenant shall be maintained by the program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occupancy record including the tenant’s name, birth date, and home address; identification numbers; date of beginning participation; name, address and telephone number of health professional(s); diagnosis; and names, addresses and telephone numbers of family members, friends or other designated people to contact in the event of illness or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initial evaluations and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nutritional assessment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initial individual service plan and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Signed authorizations for permission to release medical information, photographs, or other media information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signed authorization for the tenant to receive emergency medical care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signed managed risk policy and signed managed risk consensus agreements,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When any personal or health-related care is delegated to the program, the medical information sheet; documentation of health professionals’ orders, such as those for treatment, therapy, and medication; and nurses’ notes written by exception;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Medication lists, which will be maintained in conformance with </w:t>
      </w:r>
      <w:hyperlink r:id="rId32">
        <w:r>
          <w:rPr>
            <w:rStyle w:val="Hyperlink"/>
            <w:rFonts w:ascii="Times New Roman" w:hAnsi="Times New Roman"/>
            <w:b w:val="false"/>
            <w:i w:val="false"/>
            <w:color w:val="000000"/>
            <w:sz w:val="22"/>
          </w:rPr>
          <w:t>481—paragraph 67.5(2)</w:t>
        </w:r>
      </w:hyperlink>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Advance health care directives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complete copy of the tenant’s occupancy agreement, including any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written acknowledgment that the tenant or the tenant’s legal representative, if applicable, has been fully informed of the tenant’s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copy of guardianship, durable power of attorney for health care, power of attorney, or conservatorship or other documentation of a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Incident reports involving the tenant, including but not limited to those related to medication errors, accidents, falls, and elopements (such reports need not be included in the tenant’s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 copy of waivers of admission or retention criteria,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When the tenant is unable to advocate on the tenant’s own behalf or the tenant has multiple service providers, including hospice care providers, accurate documentation of the completion of routine personal or health-related care is required on task sheets. If tasks are doctor-ordered, the tasks will be part of the medication administration records (MARs);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Authorizations for the release of information,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68.16(2)</w:t>
      </w:r>
      <w:r>
        <w:rPr>
          <w:rFonts w:ascii="Times New Roman" w:hAnsi="Times New Roman"/>
          <w:b w:val="false"/>
          <w:i w:val="false"/>
          <w:color w:val="000000"/>
          <w:sz w:val="22"/>
        </w:rPr>
        <w:t> </w:t>
      </w:r>
      <w:r>
        <w:rPr>
          <w:rFonts w:ascii="Times New Roman" w:hAnsi="Times New Roman"/>
          <w:b w:val="false"/>
          <w:i w:val="false"/>
          <w:color w:val="000000"/>
          <w:sz w:val="22"/>
        </w:rPr>
        <w:t>The program records relating to a tenant shall be retained for a minimum of three years after termination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68.16(3)</w:t>
      </w:r>
      <w:r>
        <w:rPr>
          <w:rFonts w:ascii="Times New Roman" w:hAnsi="Times New Roman"/>
          <w:b w:val="false"/>
          <w:i w:val="false"/>
          <w:color w:val="000000"/>
          <w:sz w:val="22"/>
        </w:rPr>
        <w:t> </w:t>
      </w:r>
      <w:r>
        <w:rPr>
          <w:rFonts w:ascii="Times New Roman" w:hAnsi="Times New Roman"/>
          <w:b w:val="false"/>
          <w:i w:val="false"/>
          <w:color w:val="000000"/>
          <w:sz w:val="22"/>
        </w:rPr>
        <w:t>All records shall be protected from loss, damage and unauthorized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481—68.17</w:t>
      </w:r>
      <w:r>
        <w:rPr>
          <w:rFonts w:ascii="Times New Roman" w:hAnsi="Times New Roman"/>
          <w:b/>
          <w:i w:val="false"/>
          <w:color w:val="000000"/>
          <w:sz w:val="22"/>
        </w:rPr>
        <w:t xml:space="preserve">(231B) </w:t>
      </w:r>
      <w:r>
        <w:rPr>
          <w:rFonts w:ascii="Times New Roman" w:hAnsi="Times New Roman"/>
          <w:b/>
          <w:i w:val="false"/>
          <w:color w:val="000000"/>
          <w:sz w:val="22"/>
        </w:rPr>
        <w:t xml:space="preserve">Service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68.17(1)</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plan shall be developed for each tenant based on the evaluations conducted in accordance with subrules </w:t>
      </w:r>
      <w:hyperlink r:id="rId33">
        <w:r>
          <w:rPr>
            <w:rStyle w:val="Hyperlink"/>
            <w:rFonts w:ascii="Times New Roman" w:hAnsi="Times New Roman"/>
            <w:b w:val="false"/>
            <w:i w:val="false"/>
            <w:color w:val="000000"/>
            <w:sz w:val="22"/>
          </w:rPr>
          <w:t>68.13(1)</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68.13(2)</w:t>
        </w:r>
      </w:hyperlink>
      <w:r>
        <w:rPr>
          <w:rFonts w:ascii="Times New Roman" w:hAnsi="Times New Roman"/>
          <w:b w:val="false"/>
          <w:i w:val="false"/>
          <w:color w:val="000000"/>
          <w:sz w:val="22"/>
        </w:rPr>
        <w:t xml:space="preserve"> and be designed to meet the specific needs of the individual tenant.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68.17(2)</w:t>
      </w:r>
      <w:r>
        <w:rPr>
          <w:rFonts w:ascii="Times New Roman" w:hAnsi="Times New Roman"/>
          <w:b w:val="false"/>
          <w:i w:val="false"/>
          <w:color w:val="000000"/>
          <w:sz w:val="22"/>
        </w:rPr>
        <w:t> </w:t>
      </w:r>
      <w:r>
        <w:rPr>
          <w:rFonts w:ascii="Times New Roman" w:hAnsi="Times New Roman"/>
          <w:b w:val="false"/>
          <w:i w:val="false"/>
          <w:color w:val="000000"/>
          <w:sz w:val="22"/>
        </w:rPr>
        <w:t>Prior to the tenant’s signing the occupancy agreement and becoming a household occupant, a preliminary service plan shall be developed by a health care professional or human service professional in consultation with the tenant and, at the tenant’s request, with other individuals identified by the tenant, and, if applicable, with the tenant’s legal representative. All persons who develop the plan and the tenant or the tenant’s legal representative shall sign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68.17(3)</w:t>
      </w:r>
      <w:r>
        <w:rPr>
          <w:rFonts w:ascii="Times New Roman" w:hAnsi="Times New Roman"/>
          <w:b w:val="false"/>
          <w:i w:val="false"/>
          <w:color w:val="000000"/>
          <w:sz w:val="22"/>
        </w:rPr>
        <w:t> </w:t>
      </w:r>
      <w:r>
        <w:rPr>
          <w:rFonts w:ascii="Times New Roman" w:hAnsi="Times New Roman"/>
          <w:b w:val="false"/>
          <w:i w:val="false"/>
          <w:color w:val="000000"/>
          <w:sz w:val="22"/>
        </w:rPr>
        <w:t>When a tenant needs personal care or health-related care, the service plan shall be updated within 30 days of the tenant’s occupancy and as needed with significant change, but not less than annually. The service plan will be signed by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significant change does not exist, the program may, after nurse review, add minor discretionary changes to the service plan without a comprehensive evaluation and without obtaining signatures on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significant change relates to a recurring or chronic condition, a previous evaluation and service plan of the recurring condition may be utilized without new signatures being obtained. For example, with chronic exacerbation of a urinary tract infection, nurse review is adequate to institute the previously written evaluation and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68.17(4)</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be individualized and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tenant’s identified needs and preferences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services and care to be provided pursuant to the occupancy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provider(s), if other than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Preferences, if any, of the tenant or the tenant’s legal representative for nursing facility care, if the need for nursing facility care presents itself during the elder group home occupancy.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481—68.18</w:t>
      </w:r>
      <w:r>
        <w:rPr>
          <w:rFonts w:ascii="Times New Roman" w:hAnsi="Times New Roman"/>
          <w:b/>
          <w:i w:val="false"/>
          <w:color w:val="000000"/>
          <w:sz w:val="22"/>
        </w:rPr>
        <w:t xml:space="preserve">(231B) </w:t>
      </w:r>
      <w:r>
        <w:rPr>
          <w:rFonts w:ascii="Times New Roman" w:hAnsi="Times New Roman"/>
          <w:b/>
          <w:i w:val="false"/>
          <w:color w:val="000000"/>
          <w:sz w:val="22"/>
        </w:rPr>
        <w:t xml:space="preserve">Nurse review. </w:t>
      </w:r>
      <w:r>
        <w:rPr>
          <w:rFonts w:ascii="Times New Roman" w:hAnsi="Times New Roman"/>
          <w:b w:val="false"/>
          <w:i w:val="false"/>
          <w:color w:val="000000"/>
          <w:sz w:val="22"/>
        </w:rPr>
        <w:t>If a tenant does not receive personal or health-related care, but an observed significant change in the tenant’s condition occurs, a nurse review shall be conducted. If a tenant receives personal or health-related care, the program shall provide for a registered nurse or a licensed practical nurse via nurse delegation: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68.18(1)</w:t>
      </w:r>
      <w:r>
        <w:rPr>
          <w:rFonts w:ascii="Times New Roman" w:hAnsi="Times New Roman"/>
          <w:b w:val="false"/>
          <w:i w:val="false"/>
          <w:color w:val="000000"/>
          <w:sz w:val="22"/>
        </w:rPr>
        <w:t> </w:t>
      </w:r>
      <w:r>
        <w:rPr>
          <w:rFonts w:ascii="Times New Roman" w:hAnsi="Times New Roman"/>
          <w:b w:val="false"/>
          <w:i w:val="false"/>
          <w:color w:val="000000"/>
          <w:sz w:val="22"/>
        </w:rPr>
        <w:t>To monitor, at least every 90 days, or after a significant change in the tenant’s condition, any tenant who receives program-administered prescription medications for adverse reactions to the medications and to make appropriate interventions or referrals, and to ensure that the prescription medication orders are current and that the prescription medications are administered consistent with such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68.18(2)</w:t>
      </w:r>
      <w:r>
        <w:rPr>
          <w:rFonts w:ascii="Times New Roman" w:hAnsi="Times New Roman"/>
          <w:b w:val="false"/>
          <w:i w:val="false"/>
          <w:color w:val="000000"/>
          <w:sz w:val="22"/>
        </w:rPr>
        <w:t> </w:t>
      </w:r>
      <w:r>
        <w:rPr>
          <w:rFonts w:ascii="Times New Roman" w:hAnsi="Times New Roman"/>
          <w:b w:val="false"/>
          <w:i w:val="false"/>
          <w:color w:val="000000"/>
          <w:sz w:val="22"/>
        </w:rPr>
        <w:t>To ensure that health care professionals’ orders are current for tenants who receive professional-directed health care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68.18(3)</w:t>
      </w:r>
      <w:r>
        <w:rPr>
          <w:rFonts w:ascii="Times New Roman" w:hAnsi="Times New Roman"/>
          <w:b w:val="false"/>
          <w:i w:val="false"/>
          <w:color w:val="000000"/>
          <w:sz w:val="22"/>
        </w:rPr>
        <w:t> </w:t>
      </w:r>
      <w:r>
        <w:rPr>
          <w:rFonts w:ascii="Times New Roman" w:hAnsi="Times New Roman"/>
          <w:b w:val="false"/>
          <w:i w:val="false"/>
          <w:color w:val="000000"/>
          <w:sz w:val="22"/>
        </w:rPr>
        <w:t>To assess and document the health status of each tenant, to make recommendations and referrals as appropriate, and to monitor progress relating to previous recommendations at least every 90 days and whenever there are changes in the tenant’s 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68.18(4)</w:t>
      </w:r>
      <w:r>
        <w:rPr>
          <w:rFonts w:ascii="Times New Roman" w:hAnsi="Times New Roman"/>
          <w:b w:val="false"/>
          <w:i w:val="false"/>
          <w:color w:val="000000"/>
          <w:sz w:val="22"/>
        </w:rPr>
        <w:t> </w:t>
      </w:r>
      <w:r>
        <w:rPr>
          <w:rFonts w:ascii="Times New Roman" w:hAnsi="Times New Roman"/>
          <w:b w:val="false"/>
          <w:i w:val="false"/>
          <w:color w:val="000000"/>
          <w:sz w:val="22"/>
        </w:rPr>
        <w:t xml:space="preserve">To provide the program with written documentation of the activities under the service plan, as set forth in rule </w:t>
      </w:r>
      <w:hyperlink r:id="rId35">
        <w:r>
          <w:rPr>
            <w:rStyle w:val="Hyperlink"/>
            <w:rFonts w:ascii="Times New Roman" w:hAnsi="Times New Roman"/>
            <w:b w:val="false"/>
            <w:i w:val="false"/>
            <w:color w:val="000000"/>
            <w:sz w:val="22"/>
          </w:rPr>
          <w:t>481—68.17</w:t>
        </w:r>
      </w:hyperlink>
      <w:r>
        <w:rPr>
          <w:rFonts w:ascii="Times New Roman" w:hAnsi="Times New Roman"/>
          <w:b w:val="false"/>
          <w:i w:val="false"/>
          <w:color w:val="000000"/>
          <w:sz w:val="22"/>
        </w:rPr>
        <w:t>(231B), showing the time, date and signature.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481—68.19</w:t>
      </w:r>
      <w:r>
        <w:rPr>
          <w:rFonts w:ascii="Times New Roman" w:hAnsi="Times New Roman"/>
          <w:b/>
          <w:i w:val="false"/>
          <w:color w:val="000000"/>
          <w:sz w:val="22"/>
        </w:rPr>
        <w:t xml:space="preserve">(231B) </w:t>
      </w:r>
      <w:r>
        <w:rPr>
          <w:rFonts w:ascii="Times New Roman" w:hAnsi="Times New Roman"/>
          <w:b/>
          <w:i w:val="false"/>
          <w:color w:val="000000"/>
          <w:sz w:val="22"/>
        </w:rPr>
        <w:t xml:space="preserve">Staffing. </w:t>
      </w:r>
      <w:r>
        <w:rPr>
          <w:rFonts w:ascii="Times New Roman" w:hAnsi="Times New Roman"/>
          <w:b w:val="false"/>
          <w:i w:val="false"/>
          <w:color w:val="000000"/>
          <w:sz w:val="22"/>
        </w:rPr>
        <w:t xml:space="preserve">In addition to the general staffing requirements in rule </w:t>
      </w:r>
      <w:hyperlink r:id="rId36">
        <w:r>
          <w:rPr>
            <w:rStyle w:val="Hyperlink"/>
            <w:rFonts w:ascii="Times New Roman" w:hAnsi="Times New Roman"/>
            <w:b w:val="false"/>
            <w:i w:val="false"/>
            <w:color w:val="000000"/>
            <w:sz w:val="22"/>
          </w:rPr>
          <w:t>481—67.9</w:t>
        </w:r>
      </w:hyperlink>
      <w:r>
        <w:rPr>
          <w:rFonts w:ascii="Times New Roman" w:hAnsi="Times New Roman"/>
          <w:b w:val="false"/>
          <w:i w:val="false"/>
          <w:color w:val="000000"/>
          <w:sz w:val="22"/>
        </w:rPr>
        <w:t>(231B,231C,231D), the following requirements apply to staffing in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68.19(1)</w:t>
      </w:r>
      <w:r>
        <w:rPr>
          <w:rFonts w:ascii="Times New Roman" w:hAnsi="Times New Roman"/>
          <w:b w:val="false"/>
          <w:i w:val="false"/>
          <w:color w:val="000000"/>
          <w:sz w:val="22"/>
        </w:rPr>
        <w:t> </w:t>
      </w:r>
      <w:r>
        <w:rPr>
          <w:rFonts w:ascii="Times New Roman" w:hAnsi="Times New Roman"/>
          <w:b w:val="false"/>
          <w:i w:val="false"/>
          <w:color w:val="000000"/>
          <w:sz w:val="22"/>
        </w:rPr>
        <w:t>The program will be staffed by an on-site manager 24 hours per day, seven days per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68.19(2)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care providers will have completed a home care aide training program that meets the requirements and criteria established in </w:t>
      </w:r>
      <w:hyperlink r:id="rId37">
        <w:r>
          <w:rPr>
            <w:rStyle w:val="Hyperlink"/>
            <w:rFonts w:ascii="Times New Roman" w:hAnsi="Times New Roman"/>
            <w:b w:val="false"/>
            <w:i w:val="false"/>
            <w:color w:val="000000"/>
            <w:sz w:val="22"/>
          </w:rPr>
          <w:t>441—Chapter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68.19(3)</w:t>
      </w:r>
      <w:r>
        <w:rPr>
          <w:rFonts w:ascii="Times New Roman" w:hAnsi="Times New Roman"/>
          <w:b w:val="false"/>
          <w:i w:val="false"/>
          <w:color w:val="000000"/>
          <w:sz w:val="22"/>
        </w:rPr>
        <w:t> </w:t>
      </w:r>
      <w:r>
        <w:rPr>
          <w:rFonts w:ascii="Times New Roman" w:hAnsi="Times New Roman"/>
          <w:b w:val="false"/>
          <w:i w:val="false"/>
          <w:color w:val="000000"/>
          <w:sz w:val="22"/>
        </w:rPr>
        <w:t>The owner or management corporation of the program is responsible for ensuring that all personnel employed by or contracting with the program receive training appropriate to assigned tasks and target population.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68.19(4)</w:t>
      </w:r>
      <w:r>
        <w:rPr>
          <w:rFonts w:ascii="Times New Roman" w:hAnsi="Times New Roman"/>
          <w:b w:val="false"/>
          <w:i w:val="false"/>
          <w:color w:val="000000"/>
          <w:sz w:val="22"/>
        </w:rPr>
        <w:t> </w:t>
      </w:r>
      <w:r>
        <w:rPr>
          <w:rFonts w:ascii="Times New Roman" w:hAnsi="Times New Roman"/>
          <w:b w:val="false"/>
          <w:i w:val="false"/>
          <w:color w:val="000000"/>
          <w:sz w:val="22"/>
        </w:rPr>
        <w:t>Personal care providers and nursing staff may be employed by the program or obtained through a contract with a home health agency or other service provider. Regardless of the source, the staff must meet all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68.19(5)</w:t>
      </w:r>
      <w:r>
        <w:rPr>
          <w:rFonts w:ascii="Times New Roman" w:hAnsi="Times New Roman"/>
          <w:b w:val="false"/>
          <w:i w:val="false"/>
          <w:color w:val="000000"/>
          <w:sz w:val="22"/>
        </w:rPr>
        <w:t> </w:t>
      </w:r>
      <w:r>
        <w:rPr>
          <w:rFonts w:ascii="Times New Roman" w:hAnsi="Times New Roman"/>
          <w:b w:val="false"/>
          <w:i w:val="false"/>
          <w:color w:val="000000"/>
          <w:sz w:val="22"/>
        </w:rPr>
        <w:t>The program will notify the department in writing within ten business days of a change in the program’s manager.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481—68.20</w:t>
      </w:r>
      <w:r>
        <w:rPr>
          <w:rFonts w:ascii="Times New Roman" w:hAnsi="Times New Roman"/>
          <w:b/>
          <w:i w:val="false"/>
          <w:color w:val="000000"/>
          <w:sz w:val="22"/>
        </w:rPr>
        <w:t xml:space="preserve">(231B) </w:t>
      </w:r>
      <w:r>
        <w:rPr>
          <w:rFonts w:ascii="Times New Roman" w:hAnsi="Times New Roman"/>
          <w:b/>
          <w:i w:val="false"/>
          <w:color w:val="000000"/>
          <w:sz w:val="22"/>
        </w:rPr>
        <w:t xml:space="preserve">Managed risk policy and managed risk consensus agreements. </w:t>
      </w:r>
      <w:r>
        <w:rPr>
          <w:rFonts w:ascii="Times New Roman" w:hAnsi="Times New Roman"/>
          <w:b w:val="false"/>
          <w:i w:val="false"/>
          <w:color w:val="000000"/>
          <w:sz w:val="22"/>
        </w:rPr>
        <w:t>The program shall have a managed risk policy that will be provided to the tenant along with the occupancy agreement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68.20(1)</w:t>
      </w:r>
      <w:r>
        <w:rPr>
          <w:rFonts w:ascii="Times New Roman" w:hAnsi="Times New Roman"/>
          <w:b w:val="false"/>
          <w:i w:val="false"/>
          <w:color w:val="000000"/>
          <w:sz w:val="22"/>
        </w:rPr>
        <w:t> </w:t>
      </w:r>
      <w:r>
        <w:rPr>
          <w:rFonts w:ascii="Times New Roman" w:hAnsi="Times New Roman"/>
          <w:b w:val="false"/>
          <w:i w:val="false"/>
          <w:color w:val="000000"/>
          <w:sz w:val="22"/>
        </w:rPr>
        <w:t>An acknowledgment of the shared responsibility for identifying and meeting the needs of the tenant and the process for managing risk and for upholding tenant autonomy when tenant decision making results in poor outcomes for the tenant or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68.20(2)</w:t>
      </w:r>
      <w:r>
        <w:rPr>
          <w:rFonts w:ascii="Times New Roman" w:hAnsi="Times New Roman"/>
          <w:b w:val="false"/>
          <w:i w:val="false"/>
          <w:color w:val="000000"/>
          <w:sz w:val="22"/>
        </w:rPr>
        <w:t> </w:t>
      </w:r>
      <w:r>
        <w:rPr>
          <w:rFonts w:ascii="Times New Roman" w:hAnsi="Times New Roman"/>
          <w:b w:val="false"/>
          <w:i w:val="false"/>
          <w:color w:val="000000"/>
          <w:sz w:val="22"/>
        </w:rPr>
        <w:t>A consensus-based process to address specific risk situations. Program staff and the tenant will participate in the process. The result of the consensus-based process may be a managed risk consensus agreement that will include the signature of the tenant and all others who participated in the process and be included in the tenant’s file.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481—68.21</w:t>
      </w:r>
      <w:r>
        <w:rPr>
          <w:rFonts w:ascii="Times New Roman" w:hAnsi="Times New Roman"/>
          <w:b/>
          <w:i w:val="false"/>
          <w:color w:val="000000"/>
          <w:sz w:val="22"/>
        </w:rPr>
        <w:t xml:space="preserve">(231B) </w:t>
      </w:r>
      <w:r>
        <w:rPr>
          <w:rFonts w:ascii="Times New Roman" w:hAnsi="Times New Roman"/>
          <w:b/>
          <w:i w:val="false"/>
          <w:color w:val="000000"/>
          <w:sz w:val="22"/>
        </w:rPr>
        <w:t xml:space="preserve">Transportation. </w:t>
      </w:r>
      <w:r>
        <w:rPr>
          <w:rFonts w:ascii="Times New Roman" w:hAnsi="Times New Roman"/>
          <w:b w:val="false"/>
          <w:i w:val="false"/>
          <w:color w:val="000000"/>
          <w:sz w:val="22"/>
        </w:rPr>
        <w:t>When transportation services are provided directly or under contract with the program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68.21(1)</w:t>
      </w:r>
      <w:r>
        <w:rPr>
          <w:rFonts w:ascii="Times New Roman" w:hAnsi="Times New Roman"/>
          <w:b w:val="false"/>
          <w:i w:val="false"/>
          <w:color w:val="000000"/>
          <w:sz w:val="22"/>
        </w:rPr>
        <w:t> </w:t>
      </w:r>
      <w:r>
        <w:rPr>
          <w:rFonts w:ascii="Times New Roman" w:hAnsi="Times New Roman"/>
          <w:b w:val="false"/>
          <w:i w:val="false"/>
          <w:color w:val="000000"/>
          <w:sz w:val="22"/>
        </w:rPr>
        <w:t>The vehicle will be accessible and appropriate to the tenants who use it, with consideration for any physical disabilities and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68.21(2)</w:t>
      </w:r>
      <w:r>
        <w:rPr>
          <w:rFonts w:ascii="Times New Roman" w:hAnsi="Times New Roman"/>
          <w:b w:val="false"/>
          <w:i w:val="false"/>
          <w:color w:val="000000"/>
          <w:sz w:val="22"/>
        </w:rPr>
        <w:t> </w:t>
      </w:r>
      <w:r>
        <w:rPr>
          <w:rFonts w:ascii="Times New Roman" w:hAnsi="Times New Roman"/>
          <w:b w:val="false"/>
          <w:i w:val="false"/>
          <w:color w:val="000000"/>
          <w:sz w:val="22"/>
        </w:rPr>
        <w:t>Every tenant transported will have a seat in the vehicle, except for a tenant who remains in a wheelchair during transport.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68.21(3)</w:t>
      </w:r>
      <w:r>
        <w:rPr>
          <w:rFonts w:ascii="Times New Roman" w:hAnsi="Times New Roman"/>
          <w:b w:val="false"/>
          <w:i w:val="false"/>
          <w:color w:val="000000"/>
          <w:sz w:val="22"/>
        </w:rPr>
        <w:t> </w:t>
      </w:r>
      <w:r>
        <w:rPr>
          <w:rFonts w:ascii="Times New Roman" w:hAnsi="Times New Roman"/>
          <w:b w:val="false"/>
          <w:i w:val="false"/>
          <w:color w:val="000000"/>
          <w:sz w:val="22"/>
        </w:rPr>
        <w:t>Vehicles will have adequate seat belts and securing devices for ambulatory and wheelchair-using passengers.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68.21(4)</w:t>
      </w:r>
      <w:r>
        <w:rPr>
          <w:rFonts w:ascii="Times New Roman" w:hAnsi="Times New Roman"/>
          <w:b w:val="false"/>
          <w:i w:val="false"/>
          <w:color w:val="000000"/>
          <w:sz w:val="22"/>
        </w:rPr>
        <w:t> </w:t>
      </w:r>
      <w:r>
        <w:rPr>
          <w:rFonts w:ascii="Times New Roman" w:hAnsi="Times New Roman"/>
          <w:b w:val="false"/>
          <w:i w:val="false"/>
          <w:color w:val="000000"/>
          <w:sz w:val="22"/>
        </w:rPr>
        <w:t>Wheelchairs will be secured when the vehicle is in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68.21(5)</w:t>
      </w:r>
      <w:r>
        <w:rPr>
          <w:rFonts w:ascii="Times New Roman" w:hAnsi="Times New Roman"/>
          <w:b w:val="false"/>
          <w:i w:val="false"/>
          <w:color w:val="000000"/>
          <w:sz w:val="22"/>
        </w:rPr>
        <w:t> </w:t>
      </w:r>
      <w:r>
        <w:rPr>
          <w:rFonts w:ascii="Times New Roman" w:hAnsi="Times New Roman"/>
          <w:b w:val="false"/>
          <w:i w:val="false"/>
          <w:color w:val="000000"/>
          <w:sz w:val="22"/>
        </w:rPr>
        <w:t>During loading and unloading of a tenant, the driver will be in the proximate area of the tenants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68.21(6)</w:t>
      </w:r>
      <w:r>
        <w:rPr>
          <w:rFonts w:ascii="Times New Roman" w:hAnsi="Times New Roman"/>
          <w:b w:val="false"/>
          <w:i w:val="false"/>
          <w:color w:val="000000"/>
          <w:sz w:val="22"/>
        </w:rPr>
        <w:t> </w:t>
      </w:r>
      <w:r>
        <w:rPr>
          <w:rFonts w:ascii="Times New Roman" w:hAnsi="Times New Roman"/>
          <w:b w:val="false"/>
          <w:i w:val="false"/>
          <w:color w:val="000000"/>
          <w:sz w:val="22"/>
        </w:rPr>
        <w:t>The driver will have a valid and appropriate Iowa driver’s license or commercial driver’s license as required by law for the vehicle being utilized for transport, or be so licensed in another state. The driver will meet any state or federal requirements for licensure or certification for the vehicle operated.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481—68.22</w:t>
      </w:r>
      <w:r>
        <w:rPr>
          <w:rFonts w:ascii="Times New Roman" w:hAnsi="Times New Roman"/>
          <w:b/>
          <w:i w:val="false"/>
          <w:color w:val="000000"/>
          <w:sz w:val="22"/>
        </w:rPr>
        <w:t xml:space="preserve">(231B) </w:t>
      </w:r>
      <w:r>
        <w:rPr>
          <w:rFonts w:ascii="Times New Roman" w:hAnsi="Times New Roman"/>
          <w:b/>
          <w:i w:val="false"/>
          <w:color w:val="000000"/>
          <w:sz w:val="22"/>
        </w:rPr>
        <w:t xml:space="preserve">Identification of veteran’s benefit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68.22(1)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a tenant’s participation in an elder group home that receives reimbursement through the medical assistance program under Iowa Code chapter </w:t>
      </w:r>
      <w:hyperlink r:id="rId38">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the program shall ask the tenant or the tenant’s personal representative whether the tenant is a veteran or whether the tenant is the spouse, widow, or dependent of a veteran and  document the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68.22(2)</w:t>
      </w:r>
      <w:r>
        <w:rPr>
          <w:rFonts w:ascii="Times New Roman" w:hAnsi="Times New Roman"/>
          <w:b w:val="false"/>
          <w:i w:val="false"/>
          <w:color w:val="000000"/>
          <w:sz w:val="22"/>
        </w:rPr>
        <w:t> </w:t>
      </w:r>
      <w:r>
        <w:rPr>
          <w:rFonts w:ascii="Times New Roman" w:hAnsi="Times New Roman"/>
          <w:b w:val="false"/>
          <w:i w:val="false"/>
          <w:color w:val="000000"/>
          <w:sz w:val="22"/>
        </w:rPr>
        <w:t>If the tenant may be a veteran or the spouse, widow, or dependent of a veteran, the program shall report the tenant’s name along with the name of the veteran, if applicable, and the name of the contact person for this information, to the Iowa department of veterans affairs. The program may report such information to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68.22(3)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tenant is eligible for benefits through the U.S. Department of Veterans Affairs or other third-party payor, the program first shall seek reimbursement from the identified payor source before seeking reimbursement from the medical assistance program established under Iowa Code chapter </w:t>
      </w:r>
      <w:hyperlink r:id="rId39">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481—68.23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481—68.24</w:t>
      </w:r>
      <w:r>
        <w:rPr>
          <w:rFonts w:ascii="Times New Roman" w:hAnsi="Times New Roman"/>
          <w:b/>
          <w:i w:val="false"/>
          <w:color w:val="000000"/>
          <w:sz w:val="22"/>
        </w:rPr>
        <w:t xml:space="preserve">(231B) </w:t>
      </w:r>
      <w:r>
        <w:rPr>
          <w:rFonts w:ascii="Times New Roman" w:hAnsi="Times New Roman"/>
          <w:b/>
          <w:i w:val="false"/>
          <w:color w:val="000000"/>
          <w:sz w:val="22"/>
        </w:rPr>
        <w:t xml:space="preserve">Life safety—emergency policies and procedures and structural safety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68.24(1)</w:t>
      </w:r>
      <w:r>
        <w:rPr>
          <w:rFonts w:ascii="Times New Roman" w:hAnsi="Times New Roman"/>
          <w:b w:val="false"/>
          <w:i w:val="false"/>
          <w:color w:val="000000"/>
          <w:sz w:val="22"/>
        </w:rPr>
        <w:t> </w:t>
      </w:r>
      <w:r>
        <w:rPr>
          <w:rFonts w:ascii="Times New Roman" w:hAnsi="Times New Roman"/>
          <w:b w:val="false"/>
          <w:i w:val="false"/>
          <w:color w:val="000000"/>
          <w:sz w:val="22"/>
        </w:rPr>
        <w:t>The program shall submit to the department and follow written emergency policies and procedures,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plan, with procedures for natural disasters that is located for easy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Fire safety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general or personal emergency procedures, including head injury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Provisions for amending or revising the emergency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Provisions for periodic training of all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Procedures for fire drills;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Regulations regarding smoking;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Procedures for monitoring and testing of smoke-control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Tenant evacuation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Procedures for reporting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Procedures for extraordinary lifesaving measures, such as cardiopulmonary resuscitation (CPR).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68.24(2)</w:t>
      </w:r>
      <w:r>
        <w:rPr>
          <w:rFonts w:ascii="Times New Roman" w:hAnsi="Times New Roman"/>
          <w:b w:val="false"/>
          <w:i w:val="false"/>
          <w:color w:val="000000"/>
          <w:sz w:val="22"/>
        </w:rPr>
        <w:t> </w:t>
      </w:r>
      <w:r>
        <w:rPr>
          <w:rFonts w:ascii="Times New Roman" w:hAnsi="Times New Roman"/>
          <w:b w:val="false"/>
          <w:i w:val="false"/>
          <w:color w:val="000000"/>
          <w:sz w:val="22"/>
        </w:rPr>
        <w:t>The program’s structure and procedures and the facility in which a program is located shall meet the requirements adopted for elder group homes in administrative rules promulgated by the building code bureau and fire safety bureau. Approval of the bureaus indicating that the building complies with these requirements is necessary for certification of a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68.24(3)</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the means to control the maximum temperature of water at sources accessible by a tenant to prevent scalding and control the maximum water temperature for tenants with cognitive impairment or dementia or at a tenant’s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481—68.25</w:t>
      </w:r>
      <w:r>
        <w:rPr>
          <w:rFonts w:ascii="Times New Roman" w:hAnsi="Times New Roman"/>
          <w:b/>
          <w:i w:val="false"/>
          <w:color w:val="000000"/>
          <w:sz w:val="22"/>
        </w:rPr>
        <w:t xml:space="preserve">(231B) </w:t>
      </w:r>
      <w:r>
        <w:rPr>
          <w:rFonts w:ascii="Times New Roman" w:hAnsi="Times New Roman"/>
          <w:b/>
          <w:i w:val="false"/>
          <w:color w:val="000000"/>
          <w:sz w:val="22"/>
        </w:rPr>
        <w:t xml:space="preserve">Structural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68.25(1)</w:t>
      </w:r>
      <w:r>
        <w:rPr>
          <w:rFonts w:ascii="Times New Roman" w:hAnsi="Times New Roman"/>
          <w:b w:val="false"/>
          <w:i w:val="false"/>
          <w:color w:val="000000"/>
          <w:sz w:val="22"/>
        </w:rPr>
        <w:t> </w:t>
      </w:r>
      <w:r>
        <w:rPr>
          <w:rFonts w:ascii="Times New Roman" w:hAnsi="Times New Roman"/>
          <w:b w:val="false"/>
          <w:i w:val="false"/>
          <w:color w:val="000000"/>
          <w:sz w:val="22"/>
        </w:rPr>
        <w:t>The EGH shall be safe, sanitary, well-ventilated, and properly lighted, heated, and cooled; and comply with all applicable state and local housing ordinances for family residences and with fire safety rules promulgated by the fire safety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68.25(2)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meeting the requirements in subrule </w:t>
      </w:r>
      <w:hyperlink r:id="rId40">
        <w:r>
          <w:rPr>
            <w:rStyle w:val="Hyperlink"/>
            <w:rFonts w:ascii="Times New Roman" w:hAnsi="Times New Roman"/>
            <w:b w:val="false"/>
            <w:i w:val="false"/>
            <w:color w:val="000000"/>
            <w:sz w:val="22"/>
          </w:rPr>
          <w:t>68.25(1)</w:t>
        </w:r>
      </w:hyperlink>
      <w:r>
        <w:rPr>
          <w:rFonts w:ascii="Times New Roman" w:hAnsi="Times New Roman"/>
          <w:b w:val="false"/>
          <w:i w:val="false"/>
          <w:color w:val="000000"/>
          <w:sz w:val="22"/>
        </w:rPr>
        <w:t>, the EGH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home, furnishings and fixtures will be clean, in good repair and appropriate for the tenants.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Stairways will have handrails of a circumference, length, texture, strength and stability that can reasonably be expected to provide tenant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functioning light will be provided in each room, stairway and exit; all light bulbs will be protected from breakage or removal with appropriate covers.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yard, fire exits and exterior steps will be kept free of obstructions and accessible and appropriate to the condition of the tenants.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There will be at least 150 square feet of common living space and sufficient furniture in the home to accommodate the recreational and socialization needs of all the tenants at one time; common space will not be located in the basement or garage, unless such space was constructed for that purpose. Additional common living space may be required if wheelchairs, walkers or other durable medical equipment is to be accommodated. For an EGH constructed or remodeled after July 1, 2005, there will be 300 square feet of usable floor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Interior and exterior doorways used by tenants will be wide enough to accommodate wheelchairs and walkers if tenants with impaired mobility are in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Hot and cold water at each tub, shower, and sink will be in sufficient supply to meet the needs of the tenants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Grab bars will be present for each toilet, tub and shower. Access to toilet and bathing facilities will be barrier-free and provide individual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telephone will be available and accessible for tenants’ use in a manner that allows for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combustion appliances will be used and maintained properly and  inspected annually by a qualified technician for carbon monoxide emissions and any other hazards to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Extension cord wiring will not be used in place of permanent electrical fixtures or outlets.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Sanitation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public water supply will be utilized if available. If a nonmunicipal water source is used, the owner or on-site manager will show documentation from the state laboratory that the water supply is potable and is tested as required by the rules of the environmental protection commission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Septic tanks or other nonmunicipal wastewater disposal systems will be in good working order and comply with state and local regulations for wastewater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Garbage and refuse will be suitably stored and disposed of by a sanitation company providing service in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laundry service is provided, soiled linens and clothing will be stored in containers in an area separate from food storage, kitchen and dining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Sanitation for household pets and other domestic animals will be adequate to prevent health and safety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There will be adequate control of insects and rodents.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Reasonable and prudent precautions for infection control will be taken, including washing hands and exposed portions of arms with soap and hot water immediately before engaging in food preparation and meal service and before and after providing personal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There will be at least one toilet and one sink for every four household occupants. A minimum of one sink and toilet is required on each floor occupied by tenants. A sink will be located near each toilet. For an EGH constructed or remodeled after July 1, 2005, there will be at least one toilet and one sink for every two household occupants, with a minimum of one toilet and one sink on each floor occupied by tenants.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At least one tub or shower is required for each six household occupants. For an EGH constructed or remodeled after July 1, 2005, there will be at least one tub or one shower for every four household occupants.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Bedroom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tenant bedroom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door that opens directly to a hallway or common use area without passage through another bedroom or common bathroom;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adequately ventilated, heated, cooled and lighted;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at least 70 square feet of usable floor space, excluding any area where a sloped ceiling does not allow a person to stand upright. For an EGH constructed or remodeled after July 1, 2005, each tenant bedroom will have at least 100 square feet of usable floor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individual privacy and be occupied by one tenant, unless an alternative arrangement is agreed to in the occupancy agreement by the tenant or the tenant’s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on ground level for tenants with impaired mobility;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 in sufficiently close proximity to the on-site manager to ensure that tenants are able to alert the on-site manager to nighttime needs or emergencies, or be equipped with a call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Owners, operators, on-site managers, their family members, and personal care providers will not use as bedrooms areas that are designated as living areas or as tenant bedrooms;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Common living space and tenant bedrooms will not be used for storage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41">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w:t>
      </w:r>
    </w:p>
    <w:p>
      <w:pPr>
        <w:pageBreakBefore/>
        <w:spacing w:before="0" w:after="0"/>
        <w:ind w:left="120"/>
        <w:jc w:val="center"/>
      </w:pPr>
    </w:p>
    <w:p>
      <w:pPr>
        <w:spacing w:before="0" w:after="0"/>
        <w:ind w:left="120"/>
        <w:jc w:val="center"/>
      </w:pPr>
      <w:r>
        <w:rPr>
          <w:rFonts w:ascii="Times New Roman" w:hAnsi="Times New Roman"/>
          <w:b w:val="false"/>
          <w:i w:val="false"/>
          <w:color w:val="000000"/>
          <w:sz w:val="22"/>
        </w:rPr>
        <w:t>Table A</w:t>
      </w:r>
    </w:p>
    <w:p>
      <w:pPr>
        <w:spacing w:before="0" w:after="0"/>
        <w:ind w:left="120"/>
        <w:jc w:val="both"/>
      </w:pPr>
      <w:r>
        <w:rPr>
          <w:rFonts w:ascii="Times New Roman" w:hAnsi="Times New Roman"/>
          <w:b w:val="false"/>
          <w:i w:val="false"/>
          <w:color w:val="000000"/>
          <w:sz w:val="22"/>
        </w:rPr>
        <w:t> </w:t>
      </w:r>
    </w:p>
    <w:p>
      <w:pPr>
        <w:spacing w:before="0" w:after="0"/>
        <w:ind w:left="120"/>
        <w:jc w:val="center"/>
      </w:pPr>
      <w:r>
        <w:drawing>
          <wp:inline distT="0" distB="0" distL="0" distR="0">
            <wp:extent cx="5063014" cy="6428994"/>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42"/>
                    <a:stretch>
                      <a:fillRect/>
                    </a:stretch>
                  </pic:blipFill>
                  <pic:spPr>
                    <a:xfrm>
                      <a:off x="0" y="0"/>
                      <a:ext cx="5063014" cy="6428994"/>
                    </a:xfrm>
                    <a:prstGeom prst="rect">
                      <a:avLst/>
                    </a:prstGeom>
                  </pic:spPr>
                </pic:pic>
              </a:graphicData>
            </a:graphic>
          </wp:inline>
        </w:drawing>
      </w:r>
    </w:p>
    <w:p>
      <w:pPr>
        <w:spacing w:before="0" w:after="0"/>
        <w:ind w:left="120"/>
        <w:jc w:val="center"/>
      </w:pPr>
      <w:r>
        <w:rPr>
          <w:rFonts w:ascii="Times New Roman" w:hAnsi="Times New Roman"/>
          <w:b w:val="false"/>
          <w:i w:val="false"/>
          <w:color w:val="000000"/>
          <w:sz w:val="21"/>
        </w:rPr>
        <w:t>[Filed ARC 8175B</w:t>
      </w:r>
      <w:r>
        <w:rPr>
          <w:rFonts w:ascii="Times New Roman" w:hAnsi="Times New Roman"/>
          <w:b w:val="false"/>
          <w:i w:val="false"/>
          <w:color w:val="000000"/>
          <w:sz w:val="21"/>
        </w:rPr>
        <w:t xml:space="preserve"> (Notice ARC 7960B, IAB 7/15/09)</w:t>
      </w:r>
      <w:r>
        <w:rPr>
          <w:rFonts w:ascii="Times New Roman" w:hAnsi="Times New Roman"/>
          <w:b w:val="false"/>
          <w:i w:val="false"/>
          <w:color w:val="000000"/>
          <w:sz w:val="21"/>
        </w:rPr>
        <w:t>, IAB 9/23/09, effective 1/1/10]</w:t>
      </w:r>
    </w:p>
    <w:p>
      <w:pPr>
        <w:spacing w:before="0" w:after="0"/>
        <w:ind w:left="120"/>
        <w:jc w:val="center"/>
      </w:pPr>
      <w:r>
        <w:rPr>
          <w:rFonts w:ascii="Times New Roman" w:hAnsi="Times New Roman"/>
          <w:b w:val="false"/>
          <w:i w:val="false"/>
          <w:color w:val="000000"/>
          <w:sz w:val="21"/>
        </w:rPr>
        <w:t>[Filed ARC 1927C</w:t>
      </w:r>
      <w:r>
        <w:rPr>
          <w:rFonts w:ascii="Times New Roman" w:hAnsi="Times New Roman"/>
          <w:b w:val="false"/>
          <w:i w:val="false"/>
          <w:color w:val="000000"/>
          <w:sz w:val="21"/>
        </w:rPr>
        <w:t xml:space="preserve"> (Notice ARC 1860C,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4976C</w:t>
      </w:r>
      <w:r>
        <w:rPr>
          <w:rFonts w:ascii="Times New Roman" w:hAnsi="Times New Roman"/>
          <w:b w:val="false"/>
          <w:i w:val="false"/>
          <w:color w:val="000000"/>
          <w:sz w:val="21"/>
        </w:rPr>
        <w:t xml:space="preserve"> (Notice ARC 4867C, IAB 1/15/20)</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0064D</w:t>
      </w:r>
      <w:r>
        <w:rPr>
          <w:rFonts w:ascii="Times New Roman" w:hAnsi="Times New Roman"/>
          <w:b w:val="false"/>
          <w:i w:val="false"/>
          <w:color w:val="000000"/>
          <w:sz w:val="21"/>
        </w:rPr>
        <w:t xml:space="preserve"> (Notice ARC 9782C, IAB 12/10/25)</w:t>
      </w:r>
      <w:r>
        <w:rPr>
          <w:rFonts w:ascii="Times New Roman" w:hAnsi="Times New Roman"/>
          <w:b w:val="false"/>
          <w:i w:val="false"/>
          <w:color w:val="000000"/>
          <w:sz w:val="21"/>
        </w:rPr>
        <w:t>, IAB 2/4/26, effective 3/11/26]</w:t>
      </w:r>
    </w:p>
    <w:sectPr>
      <w:footerReference r:id="rId43"/>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67.pdf" Type="http://schemas.openxmlformats.org/officeDocument/2006/relationships/hyperlink" Id="rId5"/>
    <Relationship TargetMode="External" Target="https://www.legis.iowa.gov/docs/ico/chapter/231B.pdf" Type="http://schemas.openxmlformats.org/officeDocument/2006/relationships/hyperlink" Id="rId6"/>
    <Relationship TargetMode="External" Target="https://www.legis.iowa.gov/docs/ico/chapter/231B.pdf" Type="http://schemas.openxmlformats.org/officeDocument/2006/relationships/hyperlink" Id="rId7"/>
    <Relationship TargetMode="External" Target="https://www.legis.iowa.gov/docs/iac/chapter/481.67.pdf" Type="http://schemas.openxmlformats.org/officeDocument/2006/relationships/hyperlink" Id="rId8"/>
    <Relationship TargetMode="External" Target="https://www.legis.iowa.gov/docs/ico/chapter/137F.pdf" Type="http://schemas.openxmlformats.org/officeDocument/2006/relationships/hyperlink" Id="rId9"/>
    <Relationship TargetMode="External" Target="http://dia-hfd.iowa.gov" Type="http://schemas.openxmlformats.org/officeDocument/2006/relationships/hyperlink" Id="rId10"/>
    <Relationship TargetMode="External" Target="https://www.legis.iowa.gov/docs/iac/rule/481.68.4.pdf" Type="http://schemas.openxmlformats.org/officeDocument/2006/relationships/hyperlink" Id="rId11"/>
    <Relationship TargetMode="External" Target="https://www.legis.iowa.gov/docs/iac/rule/481.68.4.pdf" Type="http://schemas.openxmlformats.org/officeDocument/2006/relationships/hyperlink" Id="rId12"/>
    <Relationship TargetMode="External" Target="https://www.legis.iowa.gov/docs/ico/chapter/231B.10.pdf" Type="http://schemas.openxmlformats.org/officeDocument/2006/relationships/hyperlink" Id="rId13"/>
    <Relationship TargetMode="External" Target="https://www.legis.iowa.gov/docs/ico/chapter/135C.1.pdf" Type="http://schemas.openxmlformats.org/officeDocument/2006/relationships/hyperlink" Id="rId14"/>
    <Relationship TargetMode="External" Target="https://www.legis.iowa.gov/docs/ico/chapter/135B.1.pdf" Type="http://schemas.openxmlformats.org/officeDocument/2006/relationships/hyperlink" Id="rId15"/>
    <Relationship TargetMode="External" Target="https://www.legis.iowa.gov/docs/ico/chapter/231B.17.pdf" Type="http://schemas.openxmlformats.org/officeDocument/2006/relationships/hyperlink" Id="rId16"/>
    <Relationship TargetMode="External" Target="https://www.legis.iowa.gov/docs/iac/rule/481.67.10.pdf" Type="http://schemas.openxmlformats.org/officeDocument/2006/relationships/hyperlink" Id="rId17"/>
    <Relationship TargetMode="External" Target="https://www.legis.iowa.gov/docs/iac/rule/481.68.4.pdf" Type="http://schemas.openxmlformats.org/officeDocument/2006/relationships/hyperlink" Id="rId18"/>
    <Relationship TargetMode="External" Target="https://www.legis.iowa.gov/docs/ico/chapter/231B.17.pdf" Type="http://schemas.openxmlformats.org/officeDocument/2006/relationships/hyperlink" Id="rId19"/>
    <Relationship TargetMode="External" Target="https://www.legis.iowa.gov/docs/iac/rule/481.68.3.pdf" Type="http://schemas.openxmlformats.org/officeDocument/2006/relationships/hyperlink" Id="rId20"/>
    <Relationship TargetMode="External" Target="https://www.legis.iowa.gov/docs/iac/rule/481.67.14.pdf" Type="http://schemas.openxmlformats.org/officeDocument/2006/relationships/hyperlink" Id="rId21"/>
    <Relationship TargetMode="External" Target="http://dia-hfd.iowa.gov" Type="http://schemas.openxmlformats.org/officeDocument/2006/relationships/hyperlink" Id="rId22"/>
    <Relationship TargetMode="External" Target="https://www.legis.iowa.gov/docs/ico/chapter/231B.pdf" Type="http://schemas.openxmlformats.org/officeDocument/2006/relationships/hyperlink" Id="rId23"/>
    <Relationship TargetMode="External" Target="https://www.legis.iowa.gov/docs/iac/chapter/481.67.pdf" Type="http://schemas.openxmlformats.org/officeDocument/2006/relationships/hyperlink" Id="rId24"/>
    <Relationship TargetMode="External" Target="https://www.legis.iowa.gov/docs/iac/rule/481.68.11.pdf" Type="http://schemas.openxmlformats.org/officeDocument/2006/relationships/hyperlink" Id="rId25"/>
    <Relationship TargetMode="External" Target="https://www.legis.iowa.gov/docs/ico/chapter/231B.5.pdf" Type="http://schemas.openxmlformats.org/officeDocument/2006/relationships/hyperlink" Id="rId26"/>
    <Relationship TargetMode="External" Target="https://www.legis.iowa.gov/docs/ico/chapter/231B.6.pdf" Type="http://schemas.openxmlformats.org/officeDocument/2006/relationships/hyperlink" Id="rId27"/>
    <Relationship TargetMode="External" Target="https://www.legis.iowa.gov/docs/iac/rule/481.68.15.pdf" Type="http://schemas.openxmlformats.org/officeDocument/2006/relationships/hyperlink" Id="rId28"/>
    <Relationship TargetMode="External" Target="https://www.legis.iowa.gov/docs/iac/rule/481.67.13.pdf" Type="http://schemas.openxmlformats.org/officeDocument/2006/relationships/hyperlink" Id="rId29"/>
    <Relationship TargetMode="External" Target="https://www.legis.iowa.gov/docs/iac/chapter/481.67.pdf" Type="http://schemas.openxmlformats.org/officeDocument/2006/relationships/hyperlink" Id="rId30"/>
    <Relationship TargetMode="External" Target="https://www.legis.iowa.gov/docs/iac/rule/481.67.7.pdf" Type="http://schemas.openxmlformats.org/officeDocument/2006/relationships/hyperlink" Id="rId31"/>
    <Relationship TargetMode="External" Target="https://www.legis.iowa.gov/docs/iac/rule/481.67.5.pdf" Type="http://schemas.openxmlformats.org/officeDocument/2006/relationships/hyperlink" Id="rId32"/>
    <Relationship TargetMode="External" Target="https://www.legis.iowa.gov/docs/iac/rule/481.68.13.pdf" Type="http://schemas.openxmlformats.org/officeDocument/2006/relationships/hyperlink" Id="rId33"/>
    <Relationship TargetMode="External" Target="https://www.legis.iowa.gov/docs/iac/rule/481.68.13.pdf" Type="http://schemas.openxmlformats.org/officeDocument/2006/relationships/hyperlink" Id="rId34"/>
    <Relationship TargetMode="External" Target="https://www.legis.iowa.gov/docs/iac/rule/481.68.17.pdf" Type="http://schemas.openxmlformats.org/officeDocument/2006/relationships/hyperlink" Id="rId35"/>
    <Relationship TargetMode="External" Target="https://www.legis.iowa.gov/docs/iac/rule/481.67.9.pdf" Type="http://schemas.openxmlformats.org/officeDocument/2006/relationships/hyperlink" Id="rId36"/>
    <Relationship TargetMode="External" Target="https://www.legis.iowa.gov/docs/iac/chapter/441.81.pdf" Type="http://schemas.openxmlformats.org/officeDocument/2006/relationships/hyperlink" Id="rId37"/>
    <Relationship TargetMode="External" Target="https://www.legis.iowa.gov/docs/ico/chapter/249A.pdf" Type="http://schemas.openxmlformats.org/officeDocument/2006/relationships/hyperlink" Id="rId38"/>
    <Relationship TargetMode="External" Target="https://www.legis.iowa.gov/docs/ico/chapter/249A.pdf" Type="http://schemas.openxmlformats.org/officeDocument/2006/relationships/hyperlink" Id="rId39"/>
    <Relationship TargetMode="External" Target="https://www.legis.iowa.gov/docs/iac/rule/481.68.25.pdf" Type="http://schemas.openxmlformats.org/officeDocument/2006/relationships/hyperlink" Id="rId40"/>
    <Relationship TargetMode="External" Target="https://www.legis.iowa.gov/docs/ico/chapter/231B.pdf" Type="http://schemas.openxmlformats.org/officeDocument/2006/relationships/hyperlink" Id="rId41"/>
    <Relationship Target="media/document_image_rId42.jpeg" Type="http://schemas.openxmlformats.org/officeDocument/2006/relationships/image" Id="rId42"/>
    <Relationship Target="footer.xml" Type="http://schemas.openxmlformats.org/officeDocument/2006/relationships/footer" Id="rId4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