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663</w:t>
      </w:r>
    </w:p>
    <w:p>
      <w:pPr>
        <w:spacing w:before="0" w:after="0"/>
        <w:ind w:left="120"/>
        <w:jc w:val="center"/>
      </w:pPr>
      <w:r>
        <w:rPr>
          <w:rFonts w:ascii="Times New Roman" w:hAnsi="Times New Roman"/>
          <w:b w:val="false"/>
          <w:i w:val="false"/>
          <w:color w:val="000000"/>
          <w:sz w:val="21"/>
        </w:rPr>
        <w:t>REINSTATEMENT AFTER DISCIPLINARY ACTION</w:t>
      </w:r>
    </w:p>
    <w:p>
      <w:pPr>
        <w:spacing w:before="0" w:after="0"/>
        <w:ind w:left="120"/>
        <w:jc w:val="center"/>
      </w:pPr>
      <w:r>
        <w:rPr>
          <w:rFonts w:ascii="Times New Roman" w:hAnsi="Times New Roman"/>
          <w:b w:val="false"/>
          <w:i w:val="false"/>
          <w:color w:val="000000"/>
          <w:sz w:val="14"/>
        </w:rPr>
        <w:t>[Prior to 7/19/06, see Medical Examiners Board[653] Ch 12]</w:t>
      </w:r>
    </w:p>
    <w:p>
      <w:pPr>
        <w:spacing w:before="0" w:after="0"/>
        <w:ind w:left="120"/>
        <w:jc w:val="center"/>
      </w:pPr>
      <w:r>
        <w:rPr>
          <w:rFonts w:ascii="Times New Roman" w:hAnsi="Times New Roman"/>
          <w:b w:val="false"/>
          <w:i w:val="false"/>
          <w:color w:val="000000"/>
          <w:sz w:val="14"/>
        </w:rPr>
        <w:t>[Prior to 6/11/25, see Medicine Board[653]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481—663.1</w:t>
      </w:r>
      <w:r>
        <w:rPr>
          <w:rFonts w:ascii="Times New Roman" w:hAnsi="Times New Roman"/>
          <w:b/>
          <w:i w:val="false"/>
          <w:color w:val="000000"/>
          <w:sz w:val="22"/>
        </w:rPr>
        <w:t xml:space="preserve">(17A)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has not been permanently suspended or revoked by the board may apply to the board for reinstatement in accordance with the terms and conditions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663.1(1)</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license was voluntarily surrendered, an initial application for reinstatement may not be made until one year has elapsed from the date of the board order or the date of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663.1(2)</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respondent’s license. Such application will be docketed in the original case in which the license was revoked, suspended, or relinquished. All proceedings upon the petition for reinstatement are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663.1(3)</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that, if established, will be sufficient to enable the board to determine that the basis for the revocation or suspension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663.1(4)</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the board and the licensee may agree to enter into a reinstatement order by agreement, in lieu of a formal reinstatement hearing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reinstatement order must be based upon the affirmative vote of a quorum of the board. The reinstatement order is public information pursuant to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663.1(6)</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seeking reinstatement under this rule whose license became inactive during the period of suspension or revocation is also required to complete the reactivation process set forth in rule </w:t>
      </w:r>
      <w:hyperlink r:id="rId6">
        <w:r>
          <w:rPr>
            <w:rStyle w:val="Hyperlink"/>
            <w:rFonts w:ascii="Times New Roman" w:hAnsi="Times New Roman"/>
            <w:b w:val="false"/>
            <w:i w:val="false"/>
            <w:color w:val="000000"/>
            <w:sz w:val="22"/>
          </w:rPr>
          <w:t>481—652.13</w:t>
        </w:r>
      </w:hyperlink>
      <w:r>
        <w:rPr>
          <w:rFonts w:ascii="Times New Roman" w:hAnsi="Times New Roman"/>
          <w:b w:val="false"/>
          <w:i w:val="false"/>
          <w:color w:val="000000"/>
          <w:sz w:val="22"/>
        </w:rPr>
        <w:t xml:space="preserve">(147,148) or </w:t>
      </w:r>
      <w:hyperlink r:id="rId7">
        <w:r>
          <w:rPr>
            <w:rStyle w:val="Hyperlink"/>
            <w:rFonts w:ascii="Times New Roman" w:hAnsi="Times New Roman"/>
            <w:b w:val="false"/>
            <w:i w:val="false"/>
            <w:color w:val="000000"/>
            <w:sz w:val="22"/>
          </w:rPr>
          <w:t>481—652.14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9122C</w:t>
      </w:r>
      <w:r>
        <w:rPr>
          <w:rFonts w:ascii="Times New Roman" w:hAnsi="Times New Roman"/>
          <w:b w:val="false"/>
          <w:i w:val="false"/>
          <w:color w:val="000000"/>
          <w:sz w:val="21"/>
        </w:rPr>
        <w:t xml:space="preserve"> (Notice ARC 8694C,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652.13.pdf" Type="http://schemas.openxmlformats.org/officeDocument/2006/relationships/hyperlink" Id="rId6"/>
    <Relationship TargetMode="External" Target="https://www.legis.iowa.gov/docs/iac/rule/481.652.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