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662</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20"/>
        </w:rPr>
        <w:t>[Prior to 7/19/06, see Medical Examiners Board [653] Ch 12]</w:t>
      </w:r>
    </w:p>
    <w:p>
      <w:pPr>
        <w:spacing w:before="0" w:after="0"/>
        <w:ind w:left="120"/>
        <w:jc w:val="center"/>
      </w:pPr>
      <w:r>
        <w:rPr>
          <w:rFonts w:ascii="Times New Roman" w:hAnsi="Times New Roman"/>
          <w:b w:val="false"/>
          <w:i w:val="false"/>
          <w:color w:val="000000"/>
          <w:sz w:val="20"/>
        </w:rPr>
        <w:t>[Prior to 6/11/25, see Medicine Board[653] 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481—662.1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r>
        <w:rPr>
          <w:rFonts w:ascii="Times New Roman" w:hAnsi="Times New Roman"/>
          <w:b w:val="false"/>
          <w:i w:val="false"/>
          <w:color w:val="000000"/>
          <w:sz w:val="22"/>
        </w:rPr>
        <w:t>A complaint will be made in the form deemed acceptable by the board. 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that apprises the board of the allegations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of the complaint. </w:t>
      </w:r>
      <w:r>
        <w:rPr>
          <w:rFonts w:ascii="Times New Roman" w:hAnsi="Times New Roman"/>
          <w:b w:val="false"/>
          <w:i w:val="false"/>
          <w:color w:val="000000"/>
          <w:sz w:val="22"/>
        </w:rPr>
        <w:t>A written complaint may be delivered in person, by mail or electronically to the board office. The office address is Iowa Board of Medicine,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662.1(3)</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person is not civilly liable as a result of filing a report or complaint with the board or peer review committee, or for the disclosure to the board or its agents or employees, whether or not pursuant to a subpoena of records, documents, testimony or other forms of information that constitute privileged matter concerning a recipient of health care services or some other person, in connection with proceedings of a peer review committee, or in connection with duties of the board. However, such immunity from civil liability is not applicable if such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rule or law, staff may close the complaint file administratively without investigation or review by the board. All other complaints will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will become part of the licensee’s history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an investigation is ordered, a complaint file will be relabeled as an investigative file. An investigative file is not a public record. The investigative file will become part of the licensee’s history with the board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general counsel for the board,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reviews each complaint the board has received and takes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uses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violation of the laws and rules governing the practice of medicine, genetic counseling, or acupuncture,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about the licensee’s ability to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Unlicensed practice of medicine, genetic counseling,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will indicate high-priority cases when they are assigned for investigation. The committee may provide recommendations to investigators regarding the nature of investigation to be completed. The medical advisor will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will review the recommendations of the complaint review committee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hyperlink r:id="rId5">
        <w:r>
          <w:rPr>
            <w:rStyle w:val="Hyperlink"/>
            <w:rFonts w:ascii="Times New Roman" w:hAnsi="Times New Roman"/>
            <w:b w:val="false"/>
            <w:i w:val="false"/>
            <w:color w:val="000000"/>
            <w:sz w:val="22"/>
          </w:rPr>
          <w:t>662.2(3)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will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will be informed of the confidentiality of the investigative information as provided in subrule </w:t>
      </w:r>
      <w:hyperlink r:id="rId6">
        <w:r>
          <w:rPr>
            <w:rStyle w:val="Hyperlink"/>
            <w:rFonts w:ascii="Times New Roman" w:hAnsi="Times New Roman"/>
            <w:b w:val="false"/>
            <w:i w:val="false"/>
            <w:color w:val="000000"/>
            <w:sz w:val="22"/>
          </w:rPr>
          <w:t>662.2(8)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7">
        <w:r>
          <w:rPr>
            <w:rStyle w:val="Hyperlink"/>
            <w:rFonts w:ascii="Times New Roman" w:hAnsi="Times New Roman"/>
            <w:b w:val="false"/>
            <w:i w:val="false"/>
            <w:color w:val="000000"/>
            <w:sz w:val="22"/>
          </w:rPr>
          <w:t>662.2(5)</w:t>
        </w:r>
      </w:hyperlink>
      <w:r>
        <w:rPr>
          <w:rFonts w:ascii="Times New Roman" w:hAnsi="Times New Roman"/>
          <w:b w:val="false"/>
          <w:i/>
          <w:color w:val="000000"/>
          <w:sz w:val="22"/>
        </w:rPr>
        <w:t>“b”</w:t>
      </w:r>
      <w:r>
        <w:rPr>
          <w:rFonts w:ascii="Times New Roman" w:hAnsi="Times New Roman"/>
          <w:b w:val="false"/>
          <w:i w:val="false"/>
          <w:color w:val="000000"/>
          <w:sz w:val="22"/>
        </w:rPr>
        <w:t>(4)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8">
        <w:r>
          <w:rPr>
            <w:rStyle w:val="Hyperlink"/>
            <w:rFonts w:ascii="Times New Roman" w:hAnsi="Times New Roman"/>
            <w:b w:val="false"/>
            <w:i w:val="false"/>
            <w:color w:val="000000"/>
            <w:sz w:val="22"/>
          </w:rPr>
          <w:t>662.2(5)</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adversely affected by compliance with the subpoena and desires to challenge the subpoena must file with the board a motion to quash or modify the subpoena within 14 days of service, or before if the time specified is less than 14 days.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Before a contested case begins, the investigator will attempt to reach the licensee at the licensee’s listed address to allow the licensee to respond to the allegations. If the licensee cannot be found there, reasonable efforts to locate the licensee will be made. If the licensee cannot be located, the investigation will proceed without the licensee’s response, and the findings will be sent to the board. Contact and response from the licensee can be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will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will notify the complainant and the licensee of the decision.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associate, the board shall forward a copy of the investigative report to the board of physician associates for its advice and recommendation. The board of physician associates shall respond within six weeks or sooner if requested by the board of medicine. The board of medicine shall consider the advice and recommendation of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do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will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gathered by the board or its employees or agents, including peer reviewers, is confidential and privileged. The information cannot be obtained through discovery, subpoena, or other legal means except by the licensee and the board. This information is not admissible in any judicial or administrative proceeding, except in cases involving licensee discipline. However, the board’s statement of charges, settlement agreements, or decisions in disciplinary proceedings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481—662.3</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assign any case to peer review for evaluation of the professional services rendered by the licensee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peer reviewers. </w:t>
      </w:r>
      <w:r>
        <w:rPr>
          <w:rFonts w:ascii="Times New Roman" w:hAnsi="Times New Roman"/>
          <w:b w:val="false"/>
          <w:i w:val="false"/>
          <w:color w:val="000000"/>
          <w:sz w:val="22"/>
        </w:rPr>
        <w:t>The board may register peer reviewers by maintaining a list of peer reviewers in the board office. The board will enter into a contract with peer reviewers to provide peer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662.3(2)</w:t>
      </w:r>
      <w:r>
        <w:rPr>
          <w:rFonts w:ascii="Times New Roman" w:hAnsi="Times New Roman"/>
          <w:b w:val="false"/>
          <w:i w:val="false"/>
          <w:color w:val="000000"/>
          <w:sz w:val="22"/>
        </w:rPr>
        <w:t> </w:t>
      </w:r>
      <w:r>
        <w:rPr>
          <w:rFonts w:ascii="Times New Roman" w:hAnsi="Times New Roman"/>
          <w:b w:val="false"/>
          <w:i/>
          <w:color w:val="000000"/>
          <w:sz w:val="22"/>
        </w:rPr>
        <w:t xml:space="preserve">Case referral for peer review. </w:t>
      </w:r>
      <w:r>
        <w:rPr>
          <w:rFonts w:ascii="Times New Roman" w:hAnsi="Times New Roman"/>
          <w:b w:val="false"/>
          <w:i w:val="false"/>
          <w:color w:val="000000"/>
          <w:sz w:val="22"/>
        </w:rPr>
        <w:t>The board or board staff will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662.3(3)</w:t>
      </w:r>
      <w:r>
        <w:rPr>
          <w:rFonts w:ascii="Times New Roman" w:hAnsi="Times New Roman"/>
          <w:b w:val="false"/>
          <w:i w:val="false"/>
          <w:color w:val="000000"/>
          <w:sz w:val="22"/>
        </w:rPr>
        <w:t> </w:t>
      </w:r>
      <w:r>
        <w:rPr>
          <w:rFonts w:ascii="Times New Roman" w:hAnsi="Times New Roman"/>
          <w:b w:val="false"/>
          <w:i/>
          <w:color w:val="000000"/>
          <w:sz w:val="22"/>
        </w:rPr>
        <w:t xml:space="preserve">Board assistance to peer reviewers. </w:t>
      </w:r>
      <w:r>
        <w:rPr>
          <w:rFonts w:ascii="Times New Roman" w:hAnsi="Times New Roman"/>
          <w:b w:val="false"/>
          <w:i w:val="false"/>
          <w:color w:val="000000"/>
          <w:sz w:val="22"/>
        </w:rPr>
        <w:t>The board may provide investigatory and related services to assist the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662.3(5)</w:t>
      </w:r>
      <w:r>
        <w:rPr>
          <w:rFonts w:ascii="Times New Roman" w:hAnsi="Times New Roman"/>
          <w:b w:val="false"/>
          <w:i w:val="false"/>
          <w:color w:val="000000"/>
          <w:sz w:val="22"/>
        </w:rPr>
        <w:t> </w:t>
      </w:r>
      <w:r>
        <w:rPr>
          <w:rFonts w:ascii="Times New Roman" w:hAnsi="Times New Roman"/>
          <w:b w:val="false"/>
          <w:i/>
          <w:color w:val="000000"/>
          <w:sz w:val="22"/>
        </w:rPr>
        <w:t xml:space="preserve">Liability, defense and indemnity. </w:t>
      </w:r>
      <w:r>
        <w:rPr>
          <w:rFonts w:ascii="Times New Roman" w:hAnsi="Times New Roman"/>
          <w:b w:val="false"/>
          <w:i w:val="false"/>
          <w:color w:val="000000"/>
          <w:sz w:val="22"/>
        </w:rPr>
        <w:t>Peer reviewers are not liable for acts, omissions or decisions made in connection with service on the peer review committee. However, such immunity from civil liability does not apply if such act is done with malice. Peer reviewers are to be provided a defense by the state for civil lawsuits related to board peer review and will be indemnified for all such judgments or settlements as provided by applicable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662.3(6)</w:t>
      </w:r>
      <w:r>
        <w:rPr>
          <w:rFonts w:ascii="Times New Roman" w:hAnsi="Times New Roman"/>
          <w:b w:val="false"/>
          <w:i w:val="false"/>
          <w:color w:val="000000"/>
          <w:sz w:val="22"/>
        </w:rPr>
        <w:t> </w:t>
      </w:r>
      <w:r>
        <w:rPr>
          <w:rFonts w:ascii="Times New Roman" w:hAnsi="Times New Roman"/>
          <w:b w:val="false"/>
          <w:i/>
          <w:color w:val="000000"/>
          <w:sz w:val="22"/>
        </w:rPr>
        <w:t xml:space="preserve">Written peer review report. </w:t>
      </w:r>
      <w:r>
        <w:rPr>
          <w:rFonts w:ascii="Times New Roman" w:hAnsi="Times New Roman"/>
          <w:b w:val="false"/>
          <w:i w:val="false"/>
          <w:color w:val="000000"/>
          <w:sz w:val="22"/>
        </w:rPr>
        <w:t>Peer reviewers will review the information provided by the board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will contain a statement of facts, an opinion of the peer reviewers whether the licensee violated the standard of care,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all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will undergo a physical, mental, or clinical evaluation as directed by the board. This evaluation may be ordered if there is probable cause of a mental, physical, or behavioral condition, including professional misconduct, disruptive behavior, or substance abuse. The evaluation may include various assessments for disruptive behavior or neuropsychological, psychiatric, sexual misconduct, or substance abuse evaluations. Clinical competency evaluations can be ordered if there is probable cause of professional incompetence. All evaluation orders and related information are confidential according to Iowa Code section </w:t>
      </w:r>
      <w:hyperlink r:id="rId1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licensee will bear the cost, and orders will be delivered via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needs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will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will be considered a contested case proceeding and will be governed by the provisions of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will be closed pursuant to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will be provided to the licensee in the event the licensee files an objection under subrule </w:t>
      </w:r>
      <w:hyperlink r:id="rId15">
        <w:r>
          <w:rPr>
            <w:rStyle w:val="Hyperlink"/>
            <w:rFonts w:ascii="Times New Roman" w:hAnsi="Times New Roman"/>
            <w:b w:val="false"/>
            <w:i w:val="false"/>
            <w:color w:val="000000"/>
            <w:sz w:val="22"/>
          </w:rPr>
          <w:t>662.4(3)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will be waived as to the admissibility of the licensee’s testimony or evaluation reports on the grounds that they constitute privileged communication. The medical testimony or examination reports will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[Filed 11/21/07,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9121C</w:t>
      </w:r>
      <w:r>
        <w:rPr>
          <w:rFonts w:ascii="Times New Roman" w:hAnsi="Times New Roman"/>
          <w:b w:val="false"/>
          <w:i w:val="false"/>
          <w:color w:val="000000"/>
          <w:sz w:val="21"/>
        </w:rPr>
        <w:t xml:space="preserve"> (Notice ARC 8697C,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62.2.pdf" Type="http://schemas.openxmlformats.org/officeDocument/2006/relationships/hyperlink" Id="rId5"/>
    <Relationship TargetMode="External" Target="https://www.legis.iowa.gov/docs/iac/rule/653.662.2.pdf" Type="http://schemas.openxmlformats.org/officeDocument/2006/relationships/hyperlink" Id="rId6"/>
    <Relationship TargetMode="External" Target="https://www.legis.iowa.gov/docs/iac/rule/653.662.2.pdf" Type="http://schemas.openxmlformats.org/officeDocument/2006/relationships/hyperlink" Id="rId7"/>
    <Relationship TargetMode="External" Target="https://www.legis.iowa.gov/docs/iac/rule/653.662.2.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481.662.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272C.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