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661</w:t>
      </w:r>
    </w:p>
    <w:p>
      <w:pPr>
        <w:spacing w:before="0" w:after="0"/>
        <w:ind w:left="120"/>
        <w:jc w:val="center"/>
      </w:pPr>
      <w:r>
        <w:rPr>
          <w:rFonts w:ascii="Times New Roman" w:hAnsi="Times New Roman"/>
          <w:b w:val="false"/>
          <w:i w:val="false"/>
          <w:color w:val="000000"/>
          <w:sz w:val="21"/>
        </w:rPr>
        <w:t>GROUNDS FOR DISCIPLINE</w:t>
      </w:r>
    </w:p>
    <w:p>
      <w:pPr>
        <w:spacing w:before="0" w:after="0"/>
        <w:ind w:left="120"/>
        <w:jc w:val="center"/>
      </w:pPr>
      <w:r>
        <w:rPr>
          <w:rFonts w:ascii="Times New Roman" w:hAnsi="Times New Roman"/>
          <w:b w:val="false"/>
          <w:i w:val="false"/>
          <w:color w:val="000000"/>
          <w:sz w:val="14"/>
        </w:rPr>
        <w:t>[Prior to 7/19/06, see Medical Examiners Board [653] C 12]</w:t>
      </w:r>
    </w:p>
    <w:p>
      <w:pPr>
        <w:spacing w:before="0" w:after="0"/>
        <w:ind w:left="120"/>
        <w:jc w:val="center"/>
      </w:pPr>
      <w:r>
        <w:rPr>
          <w:rFonts w:ascii="Times New Roman" w:hAnsi="Times New Roman"/>
          <w:b w:val="false"/>
          <w:i w:val="false"/>
          <w:color w:val="000000"/>
          <w:sz w:val="14"/>
        </w:rPr>
        <w:t>[Prior to 6/11/25, see Medicine Board[653] Ch 23]</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5/21/30</w:t>
      </w:r>
    </w:p>
    <w:p>
      <w:pPr>
        <w:spacing w:before="0" w:after="0"/>
        <w:ind w:left="120"/>
        <w:jc w:val="both"/>
      </w:pPr>
      <w:r>
        <w:rPr>
          <w:rFonts w:ascii="Times New Roman" w:hAnsi="Times New Roman"/>
          <w:b/>
          <w:i w:val="false"/>
          <w:color w:val="000000"/>
          <w:sz w:val="22"/>
        </w:rPr>
        <w:t>481—661.1</w:t>
      </w:r>
      <w:r>
        <w:rPr>
          <w:rFonts w:ascii="Times New Roman" w:hAnsi="Times New Roman"/>
          <w:b/>
          <w:i w:val="false"/>
          <w:color w:val="000000"/>
          <w:sz w:val="22"/>
        </w:rPr>
        <w:t xml:space="preserve">(272C) </w:t>
      </w:r>
      <w:r>
        <w:rPr>
          <w:rFonts w:ascii="Times New Roman" w:hAnsi="Times New Roman"/>
          <w:b/>
          <w:i w:val="false"/>
          <w:color w:val="000000"/>
          <w:sz w:val="22"/>
        </w:rPr>
        <w:t xml:space="preserve">Grounds for discipline. </w:t>
      </w:r>
      <w:r>
        <w:rPr>
          <w:rFonts w:ascii="Times New Roman" w:hAnsi="Times New Roman"/>
          <w:b w:val="false"/>
          <w:i w:val="false"/>
          <w:color w:val="000000"/>
          <w:sz w:val="22"/>
        </w:rPr>
        <w:t xml:space="preserve">The board has the authority to impose discipline for any violation of Iowa Code chapter </w:t>
      </w:r>
      <w:hyperlink r:id="rId5">
        <w:r>
          <w:rPr>
            <w:rStyle w:val="Hyperlink"/>
            <w:rFonts w:ascii="Times New Roman" w:hAnsi="Times New Roman"/>
            <w:b w:val="false"/>
            <w:i w:val="false"/>
            <w:color w:val="000000"/>
            <w:sz w:val="22"/>
          </w:rPr>
          <w:t>147</w:t>
        </w:r>
      </w:hyperlink>
      <w:r>
        <w:rPr>
          <w:rFonts w:ascii="Times New Roman" w:hAnsi="Times New Roman"/>
          <w:b w:val="false"/>
          <w:i w:val="false"/>
          <w:color w:val="000000"/>
          <w:sz w:val="22"/>
        </w:rPr>
        <w:t xml:space="preserve">, </w:t>
      </w:r>
      <w:hyperlink r:id="rId6">
        <w:r>
          <w:rPr>
            <w:rStyle w:val="Hyperlink"/>
            <w:rFonts w:ascii="Times New Roman" w:hAnsi="Times New Roman"/>
            <w:b w:val="false"/>
            <w:i w:val="false"/>
            <w:color w:val="000000"/>
            <w:sz w:val="22"/>
          </w:rPr>
          <w:t>148</w:t>
        </w:r>
      </w:hyperlink>
      <w:r>
        <w:rPr>
          <w:rFonts w:ascii="Times New Roman" w:hAnsi="Times New Roman"/>
          <w:b w:val="false"/>
          <w:i w:val="false"/>
          <w:color w:val="000000"/>
          <w:sz w:val="22"/>
        </w:rPr>
        <w:t xml:space="preserve">, </w:t>
      </w:r>
      <w:hyperlink r:id="rId7">
        <w:r>
          <w:rPr>
            <w:rStyle w:val="Hyperlink"/>
            <w:rFonts w:ascii="Times New Roman" w:hAnsi="Times New Roman"/>
            <w:b w:val="false"/>
            <w:i w:val="false"/>
            <w:color w:val="000000"/>
            <w:sz w:val="22"/>
          </w:rPr>
          <w:t>148E</w:t>
        </w:r>
      </w:hyperlink>
      <w:r>
        <w:rPr>
          <w:rFonts w:ascii="Times New Roman" w:hAnsi="Times New Roman"/>
          <w:b w:val="false"/>
          <w:i w:val="false"/>
          <w:color w:val="000000"/>
          <w:sz w:val="22"/>
        </w:rPr>
        <w:t xml:space="preserve">, </w:t>
      </w:r>
      <w:hyperlink r:id="rId8">
        <w:r>
          <w:rPr>
            <w:rStyle w:val="Hyperlink"/>
            <w:rFonts w:ascii="Times New Roman" w:hAnsi="Times New Roman"/>
            <w:b w:val="false"/>
            <w:i w:val="false"/>
            <w:color w:val="000000"/>
            <w:sz w:val="22"/>
          </w:rPr>
          <w:t>148H</w:t>
        </w:r>
      </w:hyperlink>
      <w:r>
        <w:rPr>
          <w:rFonts w:ascii="Times New Roman" w:hAnsi="Times New Roman"/>
          <w:b w:val="false"/>
          <w:i w:val="false"/>
          <w:color w:val="000000"/>
          <w:sz w:val="22"/>
        </w:rPr>
        <w:t xml:space="preserve">, </w:t>
      </w:r>
      <w:hyperlink r:id="rId9">
        <w:r>
          <w:rPr>
            <w:rStyle w:val="Hyperlink"/>
            <w:rFonts w:ascii="Times New Roman" w:hAnsi="Times New Roman"/>
            <w:b w:val="false"/>
            <w:i w:val="false"/>
            <w:color w:val="000000"/>
            <w:sz w:val="22"/>
          </w:rPr>
          <w:t>252J</w:t>
        </w:r>
      </w:hyperlink>
      <w:r>
        <w:rPr>
          <w:rFonts w:ascii="Times New Roman" w:hAnsi="Times New Roman"/>
          <w:b w:val="false"/>
          <w:i w:val="false"/>
          <w:color w:val="000000"/>
          <w:sz w:val="22"/>
        </w:rPr>
        <w:t xml:space="preserve">, </w:t>
      </w:r>
      <w:hyperlink r:id="rId10">
        <w:r>
          <w:rPr>
            <w:rStyle w:val="Hyperlink"/>
            <w:rFonts w:ascii="Times New Roman" w:hAnsi="Times New Roman"/>
            <w:b w:val="false"/>
            <w:i w:val="false"/>
            <w:color w:val="000000"/>
            <w:sz w:val="22"/>
          </w:rPr>
          <w:t>272C</w:t>
        </w:r>
      </w:hyperlink>
      <w:r>
        <w:rPr>
          <w:rFonts w:ascii="Times New Roman" w:hAnsi="Times New Roman"/>
          <w:b w:val="false"/>
          <w:i w:val="false"/>
          <w:color w:val="000000"/>
          <w:sz w:val="22"/>
        </w:rPr>
        <w:t xml:space="preserve"> or </w:t>
      </w:r>
      <w:hyperlink r:id="rId11">
        <w:r>
          <w:rPr>
            <w:rStyle w:val="Hyperlink"/>
            <w:rFonts w:ascii="Times New Roman" w:hAnsi="Times New Roman"/>
            <w:b w:val="false"/>
            <w:i w:val="false"/>
            <w:color w:val="000000"/>
            <w:sz w:val="22"/>
          </w:rPr>
          <w:t>272D</w:t>
        </w:r>
      </w:hyperlink>
      <w:r>
        <w:rPr>
          <w:rFonts w:ascii="Times New Roman" w:hAnsi="Times New Roman"/>
          <w:b w:val="false"/>
          <w:i w:val="false"/>
          <w:color w:val="000000"/>
          <w:sz w:val="22"/>
        </w:rPr>
        <w:t xml:space="preserve"> or the rules promulgated thereunder. The grounds for discipline apply to physicians, acupuncturists and genetic counselors. The board may impose any of the disciplinary sanctions set forth in </w:t>
      </w:r>
      <w:hyperlink r:id="rId12">
        <w:r>
          <w:rPr>
            <w:rStyle w:val="Hyperlink"/>
            <w:rFonts w:ascii="Times New Roman" w:hAnsi="Times New Roman"/>
            <w:b w:val="false"/>
            <w:i w:val="false"/>
            <w:color w:val="000000"/>
            <w:sz w:val="22"/>
          </w:rPr>
          <w:t>481—Chapter 506</w:t>
        </w:r>
      </w:hyperlink>
      <w:r>
        <w:rPr>
          <w:rFonts w:ascii="Times New Roman" w:hAnsi="Times New Roman"/>
          <w:b w:val="false"/>
          <w:i w:val="false"/>
          <w:color w:val="000000"/>
          <w:sz w:val="22"/>
        </w:rPr>
        <w:t>, including civil penalties in an amount not to exceed $10,000, when the board determines that the licensee is guilty of any of the following acts or offenses: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661.1(1)</w:t>
      </w:r>
      <w:r>
        <w:rPr>
          <w:rFonts w:ascii="Times New Roman" w:hAnsi="Times New Roman"/>
          <w:b w:val="false"/>
          <w:i w:val="false"/>
          <w:color w:val="000000"/>
          <w:sz w:val="22"/>
        </w:rPr>
        <w:t> </w:t>
      </w:r>
      <w:r>
        <w:rPr>
          <w:rFonts w:ascii="Times New Roman" w:hAnsi="Times New Roman"/>
          <w:b w:val="false"/>
          <w:i w:val="false"/>
          <w:color w:val="000000"/>
          <w:sz w:val="22"/>
        </w:rPr>
        <w:t xml:space="preserve">Violating any of the grounds for the revocation or suspension of a license as listed in Iowa Code section </w:t>
      </w:r>
      <w:hyperlink r:id="rId13">
        <w:r>
          <w:rPr>
            <w:rStyle w:val="Hyperlink"/>
            <w:rFonts w:ascii="Times New Roman" w:hAnsi="Times New Roman"/>
            <w:b w:val="false"/>
            <w:i w:val="false"/>
            <w:color w:val="000000"/>
            <w:sz w:val="22"/>
          </w:rPr>
          <w:t>147.55</w:t>
        </w:r>
      </w:hyperlink>
      <w:r>
        <w:rPr>
          <w:rFonts w:ascii="Times New Roman" w:hAnsi="Times New Roman"/>
          <w:b w:val="false"/>
          <w:i w:val="false"/>
          <w:color w:val="000000"/>
          <w:sz w:val="22"/>
        </w:rPr>
        <w:t xml:space="preserve">, </w:t>
      </w:r>
      <w:hyperlink r:id="rId14">
        <w:r>
          <w:rPr>
            <w:rStyle w:val="Hyperlink"/>
            <w:rFonts w:ascii="Times New Roman" w:hAnsi="Times New Roman"/>
            <w:b w:val="false"/>
            <w:i w:val="false"/>
            <w:color w:val="000000"/>
            <w:sz w:val="22"/>
          </w:rPr>
          <w:t>148.6</w:t>
        </w:r>
      </w:hyperlink>
      <w:r>
        <w:rPr>
          <w:rFonts w:ascii="Times New Roman" w:hAnsi="Times New Roman"/>
          <w:b w:val="false"/>
          <w:i w:val="false"/>
          <w:color w:val="000000"/>
          <w:sz w:val="22"/>
        </w:rPr>
        <w:t xml:space="preserve">, </w:t>
      </w:r>
      <w:hyperlink r:id="rId15">
        <w:r>
          <w:rPr>
            <w:rStyle w:val="Hyperlink"/>
            <w:rFonts w:ascii="Times New Roman" w:hAnsi="Times New Roman"/>
            <w:b w:val="false"/>
            <w:i w:val="false"/>
            <w:color w:val="000000"/>
            <w:sz w:val="22"/>
          </w:rPr>
          <w:t>148E.8</w:t>
        </w:r>
      </w:hyperlink>
      <w:r>
        <w:rPr>
          <w:rFonts w:ascii="Times New Roman" w:hAnsi="Times New Roman"/>
          <w:b w:val="false"/>
          <w:i w:val="false"/>
          <w:color w:val="000000"/>
          <w:sz w:val="22"/>
        </w:rPr>
        <w:t xml:space="preserve">, </w:t>
      </w:r>
      <w:hyperlink r:id="rId16">
        <w:r>
          <w:rPr>
            <w:rStyle w:val="Hyperlink"/>
            <w:rFonts w:ascii="Times New Roman" w:hAnsi="Times New Roman"/>
            <w:b w:val="false"/>
            <w:i w:val="false"/>
            <w:color w:val="000000"/>
            <w:sz w:val="22"/>
          </w:rPr>
          <w:t>148H.7</w:t>
        </w:r>
      </w:hyperlink>
      <w:r>
        <w:rPr>
          <w:rFonts w:ascii="Times New Roman" w:hAnsi="Times New Roman"/>
          <w:b w:val="false"/>
          <w:i w:val="false"/>
          <w:color w:val="000000"/>
          <w:sz w:val="22"/>
        </w:rPr>
        <w:t xml:space="preserve">, </w:t>
      </w:r>
      <w:hyperlink r:id="rId17">
        <w:r>
          <w:rPr>
            <w:rStyle w:val="Hyperlink"/>
            <w:rFonts w:ascii="Times New Roman" w:hAnsi="Times New Roman"/>
            <w:b w:val="false"/>
            <w:i w:val="false"/>
            <w:color w:val="000000"/>
            <w:sz w:val="22"/>
          </w:rPr>
          <w:t>272C.10</w:t>
        </w:r>
      </w:hyperlink>
      <w:r>
        <w:rPr>
          <w:rFonts w:ascii="Times New Roman" w:hAnsi="Times New Roman"/>
          <w:b w:val="false"/>
          <w:i w:val="false"/>
          <w:color w:val="000000"/>
          <w:sz w:val="22"/>
        </w:rPr>
        <w:t xml:space="preserve">, or </w:t>
      </w:r>
      <w:hyperlink r:id="rId18">
        <w:r>
          <w:rPr>
            <w:rStyle w:val="Hyperlink"/>
            <w:rFonts w:ascii="Times New Roman" w:hAnsi="Times New Roman"/>
            <w:b w:val="false"/>
            <w:i w:val="false"/>
            <w:color w:val="000000"/>
            <w:sz w:val="22"/>
          </w:rPr>
          <w:t>272C.15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661.1(2)</w:t>
      </w:r>
      <w:r>
        <w:rPr>
          <w:rFonts w:ascii="Times New Roman" w:hAnsi="Times New Roman"/>
          <w:b w:val="false"/>
          <w:i w:val="false"/>
          <w:color w:val="000000"/>
          <w:sz w:val="22"/>
        </w:rPr>
        <w:t> </w:t>
      </w:r>
      <w:r>
        <w:rPr>
          <w:rFonts w:ascii="Times New Roman" w:hAnsi="Times New Roman"/>
          <w:b w:val="false"/>
          <w:i w:val="false"/>
          <w:color w:val="000000"/>
          <w:sz w:val="22"/>
        </w:rPr>
        <w:t>Professional incompetency. Professional incompetency includes but is not limited to any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Willful or repeated gross malpractice;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Willful or gross negligence;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substantial lack of knowledge or ability to discharge professional obligations within the scope of the licensee’s practice;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 substantial deviation by the licensee from the standards of learning or skill ordinarily possessed and applied by other physicians, acupuncturists or genetic counselors in the state of Iowa acting in the same or similar circumstances;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 failure by a physician, acupuncturist or genetic counselor to exercise in a substantial respect that degree of care that is ordinarily exercised by the average physician, acupuncturist or genetic counselor in the state of Iowa acting in the same or similar circumstances;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 willful or repeated departure from or the failure to conform to the minimal standard of acceptable and prevailing practice in the state of Iowa;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Failure to meet the acceptable and prevailing standard of care when delegating or supervising services provided by another physician, health care practitioner or individual who is collaborating with or acting as an agent, associate, or employee of the physician, acupuncturist or genetic counselor responsible for the patient’s care, whether or not injury results.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661.1(3)</w:t>
      </w:r>
      <w:r>
        <w:rPr>
          <w:rFonts w:ascii="Times New Roman" w:hAnsi="Times New Roman"/>
          <w:b w:val="false"/>
          <w:i w:val="false"/>
          <w:color w:val="000000"/>
          <w:sz w:val="22"/>
        </w:rPr>
        <w:t> </w:t>
      </w:r>
      <w:r>
        <w:rPr>
          <w:rFonts w:ascii="Times New Roman" w:hAnsi="Times New Roman"/>
          <w:b w:val="false"/>
          <w:i w:val="false"/>
          <w:color w:val="000000"/>
          <w:sz w:val="22"/>
        </w:rPr>
        <w:t>Practice harmful or detrimental to the public. Practice harmful or detrimental to the public includes but is not limited 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Failure to possess and exercise that degree of skill, learning and care expected of a reasonable, prudent physician, acupuncturist or genetic counselor acting in the same or similar circumstances.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Practicing without reasonable skill and safety as a result of a mental or physical impairment, chemical abuse or chemical dependency.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For acupuncturists only: prescribing, dispensing or administering any controlled substance or prescription medication for human use or performing any treatment or healing procedure not authorized in Iowa Code chapter </w:t>
      </w:r>
      <w:hyperlink r:id="rId19">
        <w:r>
          <w:rPr>
            <w:rStyle w:val="Hyperlink"/>
            <w:rFonts w:ascii="Times New Roman" w:hAnsi="Times New Roman"/>
            <w:b w:val="false"/>
            <w:i w:val="false"/>
            <w:color w:val="000000"/>
            <w:sz w:val="22"/>
          </w:rPr>
          <w:t>148E</w:t>
        </w:r>
      </w:hyperlink>
      <w:r>
        <w:rPr>
          <w:rFonts w:ascii="Times New Roman" w:hAnsi="Times New Roman"/>
          <w:b w:val="false"/>
          <w:i w:val="false"/>
          <w:color w:val="000000"/>
          <w:sz w:val="22"/>
        </w:rPr>
        <w:t xml:space="preserve"> or </w:t>
      </w:r>
      <w:hyperlink r:id="rId20">
        <w:r>
          <w:rPr>
            <w:rStyle w:val="Hyperlink"/>
            <w:rFonts w:ascii="Times New Roman" w:hAnsi="Times New Roman"/>
            <w:b w:val="false"/>
            <w:i w:val="false"/>
            <w:color w:val="000000"/>
            <w:sz w:val="22"/>
          </w:rPr>
          <w:t>481—Chapter 656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661.1(4)</w:t>
      </w:r>
      <w:r>
        <w:rPr>
          <w:rFonts w:ascii="Times New Roman" w:hAnsi="Times New Roman"/>
          <w:b w:val="false"/>
          <w:i w:val="false"/>
          <w:color w:val="000000"/>
          <w:sz w:val="22"/>
        </w:rPr>
        <w:t> </w:t>
      </w:r>
      <w:r>
        <w:rPr>
          <w:rFonts w:ascii="Times New Roman" w:hAnsi="Times New Roman"/>
          <w:b w:val="false"/>
          <w:i w:val="false"/>
          <w:color w:val="000000"/>
          <w:sz w:val="22"/>
        </w:rPr>
        <w:t xml:space="preserve">Unprofessional conduct. Engaging in unethical or unprofessional conduct includes but is not limited to the committing by a licensee of an act contrary to honesty, justice or good morals, whether the same is committed in the course of the licensee’s practice or otherwise, and whether committed within this state or elsewhere; or a violation of the standards and principles of medical ethics or rule </w:t>
      </w:r>
      <w:hyperlink r:id="rId21">
        <w:r>
          <w:rPr>
            <w:rStyle w:val="Hyperlink"/>
            <w:rFonts w:ascii="Times New Roman" w:hAnsi="Times New Roman"/>
            <w:b w:val="false"/>
            <w:i w:val="false"/>
            <w:color w:val="000000"/>
            <w:sz w:val="22"/>
          </w:rPr>
          <w:t>481—655.7</w:t>
        </w:r>
      </w:hyperlink>
      <w:r>
        <w:rPr>
          <w:rFonts w:ascii="Times New Roman" w:hAnsi="Times New Roman"/>
          <w:b w:val="false"/>
          <w:i w:val="false"/>
          <w:color w:val="000000"/>
          <w:sz w:val="22"/>
        </w:rPr>
        <w:t xml:space="preserve">(147,148,272C), </w:t>
      </w:r>
      <w:hyperlink r:id="rId22">
        <w:r>
          <w:rPr>
            <w:rStyle w:val="Hyperlink"/>
            <w:rFonts w:ascii="Times New Roman" w:hAnsi="Times New Roman"/>
            <w:b w:val="false"/>
            <w:i w:val="false"/>
            <w:color w:val="000000"/>
            <w:sz w:val="22"/>
          </w:rPr>
          <w:t>481—655.20</w:t>
        </w:r>
      </w:hyperlink>
      <w:r>
        <w:rPr>
          <w:rFonts w:ascii="Times New Roman" w:hAnsi="Times New Roman"/>
          <w:b w:val="false"/>
          <w:i w:val="false"/>
          <w:color w:val="000000"/>
          <w:sz w:val="22"/>
        </w:rPr>
        <w:t xml:space="preserve">(147,148), </w:t>
      </w:r>
      <w:hyperlink r:id="rId23">
        <w:r>
          <w:rPr>
            <w:rStyle w:val="Hyperlink"/>
            <w:rFonts w:ascii="Times New Roman" w:hAnsi="Times New Roman"/>
            <w:b w:val="false"/>
            <w:i w:val="false"/>
            <w:color w:val="000000"/>
            <w:sz w:val="22"/>
          </w:rPr>
          <w:t>481—656.10</w:t>
        </w:r>
      </w:hyperlink>
      <w:r>
        <w:rPr>
          <w:rFonts w:ascii="Times New Roman" w:hAnsi="Times New Roman"/>
          <w:b w:val="false"/>
          <w:i w:val="false"/>
          <w:color w:val="000000"/>
          <w:sz w:val="22"/>
        </w:rPr>
        <w:t xml:space="preserve">(147,148E,272C) or </w:t>
      </w:r>
      <w:hyperlink r:id="rId24">
        <w:r>
          <w:rPr>
            <w:rStyle w:val="Hyperlink"/>
            <w:rFonts w:ascii="Times New Roman" w:hAnsi="Times New Roman"/>
            <w:b w:val="false"/>
            <w:i w:val="false"/>
            <w:color w:val="000000"/>
            <w:sz w:val="22"/>
          </w:rPr>
          <w:t>481—658.4</w:t>
        </w:r>
      </w:hyperlink>
      <w:r>
        <w:rPr>
          <w:rFonts w:ascii="Times New Roman" w:hAnsi="Times New Roman"/>
          <w:b w:val="false"/>
          <w:i w:val="false"/>
          <w:color w:val="000000"/>
          <w:sz w:val="22"/>
        </w:rPr>
        <w:t>(148H) as interpreted by the board.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661.1(5)</w:t>
      </w:r>
      <w:r>
        <w:rPr>
          <w:rFonts w:ascii="Times New Roman" w:hAnsi="Times New Roman"/>
          <w:b w:val="false"/>
          <w:i w:val="false"/>
          <w:color w:val="000000"/>
          <w:sz w:val="22"/>
        </w:rPr>
        <w:t> </w:t>
      </w:r>
      <w:r>
        <w:rPr>
          <w:rFonts w:ascii="Times New Roman" w:hAnsi="Times New Roman"/>
          <w:b w:val="false"/>
          <w:i w:val="false"/>
          <w:color w:val="000000"/>
          <w:sz w:val="22"/>
        </w:rPr>
        <w:t xml:space="preserve">Sexual misconduct. Engaging in sexual misconduct includes but is not limited to engaging in conduct set out at 481—subrule </w:t>
      </w:r>
      <w:hyperlink r:id="rId25">
        <w:r>
          <w:rPr>
            <w:rStyle w:val="Hyperlink"/>
            <w:rFonts w:ascii="Times New Roman" w:hAnsi="Times New Roman"/>
            <w:b w:val="false"/>
            <w:i w:val="false"/>
            <w:color w:val="000000"/>
            <w:sz w:val="22"/>
          </w:rPr>
          <w:t>655.7(4)</w:t>
        </w:r>
      </w:hyperlink>
      <w:r>
        <w:rPr>
          <w:rFonts w:ascii="Times New Roman" w:hAnsi="Times New Roman"/>
          <w:b w:val="false"/>
          <w:i w:val="false"/>
          <w:color w:val="000000"/>
          <w:sz w:val="22"/>
        </w:rPr>
        <w:t xml:space="preserve"> or </w:t>
      </w:r>
      <w:hyperlink r:id="rId26">
        <w:r>
          <w:rPr>
            <w:rStyle w:val="Hyperlink"/>
            <w:rFonts w:ascii="Times New Roman" w:hAnsi="Times New Roman"/>
            <w:b w:val="false"/>
            <w:i w:val="false"/>
            <w:color w:val="000000"/>
            <w:sz w:val="22"/>
          </w:rPr>
          <w:t>655.7(6)</w:t>
        </w:r>
      </w:hyperlink>
      <w:r>
        <w:rPr>
          <w:rFonts w:ascii="Times New Roman" w:hAnsi="Times New Roman"/>
          <w:b w:val="false"/>
          <w:i w:val="false"/>
          <w:color w:val="000000"/>
          <w:sz w:val="22"/>
        </w:rPr>
        <w:t xml:space="preserve"> as interpreted by the board.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661.1(6)</w:t>
      </w:r>
      <w:r>
        <w:rPr>
          <w:rFonts w:ascii="Times New Roman" w:hAnsi="Times New Roman"/>
          <w:b w:val="false"/>
          <w:i w:val="false"/>
          <w:color w:val="000000"/>
          <w:sz w:val="22"/>
        </w:rPr>
        <w:t> </w:t>
      </w:r>
      <w:r>
        <w:rPr>
          <w:rFonts w:ascii="Times New Roman" w:hAnsi="Times New Roman"/>
          <w:b w:val="false"/>
          <w:i w:val="false"/>
          <w:color w:val="000000"/>
          <w:sz w:val="22"/>
        </w:rPr>
        <w:t>Substance abuse. Substance abuse includes but is not limited to excessive use of alcohol, drugs, narcotics, chemicals or other substances in a manner that may impair a licensee’s ability to practice the profession with reasonable skill and safety.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661.1(7)</w:t>
      </w:r>
      <w:r>
        <w:rPr>
          <w:rFonts w:ascii="Times New Roman" w:hAnsi="Times New Roman"/>
          <w:b w:val="false"/>
          <w:i w:val="false"/>
          <w:color w:val="000000"/>
          <w:sz w:val="22"/>
        </w:rPr>
        <w:t> </w:t>
      </w:r>
      <w:r>
        <w:rPr>
          <w:rFonts w:ascii="Times New Roman" w:hAnsi="Times New Roman"/>
          <w:b w:val="false"/>
          <w:i w:val="false"/>
          <w:color w:val="000000"/>
          <w:sz w:val="22"/>
        </w:rPr>
        <w:t>Indiscriminately or promiscuously prescribing, administering or dispensing any drug for other than lawful purpose includes but is not limited 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Self-prescribing or self-dispensing controlled substances.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Prescribing or dispensing controlled substances to members of the licensee’s immediate family.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Prescribing or dispensing controlled substances to members of the licensee’s immediate family is allowable for an acute condition or on an emergency basis when the licensee conducts an examination, establishes a medical record, and maintains proper documentation.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Immediate family includes the physician’s spouse or domestic partner and either of the physician’s, spouse’s, or domestic partner’s parents, stepparents or grandparents; the physician’s natural or adopted children or stepchildren and any child’s spouse, domestic partner or children; the siblings of the physician or the physician’s spouse or domestic partner and the sibling’s spouse or domestic partner; or anyone else living with the physician.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661.1(8)</w:t>
      </w:r>
      <w:r>
        <w:rPr>
          <w:rFonts w:ascii="Times New Roman" w:hAnsi="Times New Roman"/>
          <w:b w:val="false"/>
          <w:i w:val="false"/>
          <w:color w:val="000000"/>
          <w:sz w:val="22"/>
        </w:rPr>
        <w:t> </w:t>
      </w:r>
      <w:r>
        <w:rPr>
          <w:rFonts w:ascii="Times New Roman" w:hAnsi="Times New Roman"/>
          <w:b w:val="false"/>
          <w:i w:val="false"/>
          <w:color w:val="000000"/>
          <w:sz w:val="22"/>
        </w:rPr>
        <w:t>Physical or mental impairment. Physical or mental impairment includes but is not limited to any physical, neurological or mental condition that may impair a licensee’s ability to practice the profession with reasonable skill and safety. Being adjudged mentally incompetent by a court of competent jurisdiction automatically suspends a license for the duration of the license unless the board orders otherwise.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661.1(9)</w:t>
      </w:r>
      <w:r>
        <w:rPr>
          <w:rFonts w:ascii="Times New Roman" w:hAnsi="Times New Roman"/>
          <w:b w:val="false"/>
          <w:i w:val="false"/>
          <w:color w:val="000000"/>
          <w:sz w:val="22"/>
        </w:rPr>
        <w:t> </w:t>
      </w:r>
      <w:r>
        <w:rPr>
          <w:rFonts w:ascii="Times New Roman" w:hAnsi="Times New Roman"/>
          <w:b w:val="false"/>
          <w:i w:val="false"/>
          <w:color w:val="000000"/>
          <w:sz w:val="22"/>
        </w:rPr>
        <w:t xml:space="preserve">Felony criminal conviction. Being convicted of a felony in the courts of this state, another state, the United States, or any country, territory or other jurisdiction, as defined in Iowa Code section </w:t>
      </w:r>
      <w:hyperlink r:id="rId27">
        <w:r>
          <w:rPr>
            <w:rStyle w:val="Hyperlink"/>
            <w:rFonts w:ascii="Times New Roman" w:hAnsi="Times New Roman"/>
            <w:b w:val="false"/>
            <w:i w:val="false"/>
            <w:color w:val="000000"/>
            <w:sz w:val="22"/>
          </w:rPr>
          <w:t>148.6(2)</w:t>
        </w:r>
      </w:hyperlink>
      <w:r>
        <w:rPr>
          <w:rFonts w:ascii="Times New Roman" w:hAnsi="Times New Roman"/>
          <w:b w:val="false"/>
          <w:i/>
          <w:color w:val="000000"/>
          <w:sz w:val="22"/>
        </w:rPr>
        <w:t>“b.”</w:t>
      </w:r>
      <w:r>
        <w:rPr>
          <w:rFonts w:ascii="Times New Roman" w:hAnsi="Times New Roman"/>
          <w:b w:val="false"/>
          <w:i w:val="false"/>
          <w:color w:val="000000"/>
          <w:sz w:val="22"/>
        </w:rPr>
        <w:t xml:space="preserve"> A copy of the record of conviction or plea of guilty or nolo contendere is conclusive evidence of the felony conviction.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661.1(10)</w:t>
      </w:r>
      <w:r>
        <w:rPr>
          <w:rFonts w:ascii="Times New Roman" w:hAnsi="Times New Roman"/>
          <w:b w:val="false"/>
          <w:i w:val="false"/>
          <w:color w:val="000000"/>
          <w:sz w:val="22"/>
        </w:rPr>
        <w:t> </w:t>
      </w:r>
      <w:r>
        <w:rPr>
          <w:rFonts w:ascii="Times New Roman" w:hAnsi="Times New Roman"/>
          <w:b w:val="false"/>
          <w:i w:val="false"/>
          <w:color w:val="000000"/>
          <w:sz w:val="22"/>
        </w:rPr>
        <w:t xml:space="preserve">Violation of the laws or rules governing the practice of medicine, acupuncture or genetic counseling of this state; another state; the United States; or any country, territory or other jurisdiction. Violation of the laws or rules governing the practice of medicine, acupuncture or genetic counseling includes but is not limited to willful or repeated violation of the provisions of these rules or the provisions of Iowa Code chapter </w:t>
      </w:r>
      <w:hyperlink r:id="rId28">
        <w:r>
          <w:rPr>
            <w:rStyle w:val="Hyperlink"/>
            <w:rFonts w:ascii="Times New Roman" w:hAnsi="Times New Roman"/>
            <w:b w:val="false"/>
            <w:i w:val="false"/>
            <w:color w:val="000000"/>
            <w:sz w:val="22"/>
          </w:rPr>
          <w:t>147</w:t>
        </w:r>
      </w:hyperlink>
      <w:r>
        <w:rPr>
          <w:rFonts w:ascii="Times New Roman" w:hAnsi="Times New Roman"/>
          <w:b w:val="false"/>
          <w:i w:val="false"/>
          <w:color w:val="000000"/>
          <w:sz w:val="22"/>
        </w:rPr>
        <w:t xml:space="preserve">, </w:t>
      </w:r>
      <w:hyperlink r:id="rId29">
        <w:r>
          <w:rPr>
            <w:rStyle w:val="Hyperlink"/>
            <w:rFonts w:ascii="Times New Roman" w:hAnsi="Times New Roman"/>
            <w:b w:val="false"/>
            <w:i w:val="false"/>
            <w:color w:val="000000"/>
            <w:sz w:val="22"/>
          </w:rPr>
          <w:t>148</w:t>
        </w:r>
      </w:hyperlink>
      <w:r>
        <w:rPr>
          <w:rFonts w:ascii="Times New Roman" w:hAnsi="Times New Roman"/>
          <w:b w:val="false"/>
          <w:i w:val="false"/>
          <w:color w:val="000000"/>
          <w:sz w:val="22"/>
        </w:rPr>
        <w:t xml:space="preserve">, </w:t>
      </w:r>
      <w:hyperlink r:id="rId30">
        <w:r>
          <w:rPr>
            <w:rStyle w:val="Hyperlink"/>
            <w:rFonts w:ascii="Times New Roman" w:hAnsi="Times New Roman"/>
            <w:b w:val="false"/>
            <w:i w:val="false"/>
            <w:color w:val="000000"/>
            <w:sz w:val="22"/>
          </w:rPr>
          <w:t>148E</w:t>
        </w:r>
      </w:hyperlink>
      <w:r>
        <w:rPr>
          <w:rFonts w:ascii="Times New Roman" w:hAnsi="Times New Roman"/>
          <w:b w:val="false"/>
          <w:i w:val="false"/>
          <w:color w:val="000000"/>
          <w:sz w:val="22"/>
        </w:rPr>
        <w:t xml:space="preserve">, </w:t>
      </w:r>
      <w:hyperlink r:id="rId31">
        <w:r>
          <w:rPr>
            <w:rStyle w:val="Hyperlink"/>
            <w:rFonts w:ascii="Times New Roman" w:hAnsi="Times New Roman"/>
            <w:b w:val="false"/>
            <w:i w:val="false"/>
            <w:color w:val="000000"/>
            <w:sz w:val="22"/>
          </w:rPr>
          <w:t>148H</w:t>
        </w:r>
      </w:hyperlink>
      <w:r>
        <w:rPr>
          <w:rFonts w:ascii="Times New Roman" w:hAnsi="Times New Roman"/>
          <w:b w:val="false"/>
          <w:i w:val="false"/>
          <w:color w:val="000000"/>
          <w:sz w:val="22"/>
        </w:rPr>
        <w:t xml:space="preserve"> or </w:t>
      </w:r>
      <w:hyperlink r:id="rId32">
        <w:r>
          <w:rPr>
            <w:rStyle w:val="Hyperlink"/>
            <w:rFonts w:ascii="Times New Roman" w:hAnsi="Times New Roman"/>
            <w:b w:val="false"/>
            <w:i w:val="false"/>
            <w:color w:val="000000"/>
            <w:sz w:val="22"/>
          </w:rPr>
          <w:t>272C</w:t>
        </w:r>
      </w:hyperlink>
      <w:r>
        <w:rPr>
          <w:rFonts w:ascii="Times New Roman" w:hAnsi="Times New Roman"/>
          <w:b w:val="false"/>
          <w:i w:val="false"/>
          <w:color w:val="000000"/>
          <w:sz w:val="22"/>
        </w:rPr>
        <w:t xml:space="preserve"> or other state or federal laws or rules governing the practice of medicine.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661.1(11)</w:t>
      </w:r>
      <w:r>
        <w:rPr>
          <w:rFonts w:ascii="Times New Roman" w:hAnsi="Times New Roman"/>
          <w:b w:val="false"/>
          <w:i w:val="false"/>
          <w:color w:val="000000"/>
          <w:sz w:val="22"/>
        </w:rPr>
        <w:t> </w:t>
      </w:r>
      <w:r>
        <w:rPr>
          <w:rFonts w:ascii="Times New Roman" w:hAnsi="Times New Roman"/>
          <w:b w:val="false"/>
          <w:i w:val="false"/>
          <w:color w:val="000000"/>
          <w:sz w:val="22"/>
        </w:rPr>
        <w:t>Violation of a lawful order of the board, previously entered by the board in a disciplinary or licensure hearing, or violation of the terms and provisions of a consent agreement or settlement agreement entered into between a licensee and the board.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661.1(12)</w:t>
      </w:r>
      <w:r>
        <w:rPr>
          <w:rFonts w:ascii="Times New Roman" w:hAnsi="Times New Roman"/>
          <w:b w:val="false"/>
          <w:i w:val="false"/>
          <w:color w:val="000000"/>
          <w:sz w:val="22"/>
        </w:rPr>
        <w:t> </w:t>
      </w:r>
      <w:r>
        <w:rPr>
          <w:rFonts w:ascii="Times New Roman" w:hAnsi="Times New Roman"/>
          <w:b w:val="false"/>
          <w:i w:val="false"/>
          <w:color w:val="000000"/>
          <w:sz w:val="22"/>
        </w:rPr>
        <w:t>Violation of an initial agreement or health contract entered into with the Iowa professional health programs (IPHP).</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661.1(13)</w:t>
      </w:r>
      <w:r>
        <w:rPr>
          <w:rFonts w:ascii="Times New Roman" w:hAnsi="Times New Roman"/>
          <w:b w:val="false"/>
          <w:i w:val="false"/>
          <w:color w:val="000000"/>
          <w:sz w:val="22"/>
        </w:rPr>
        <w:t> </w:t>
      </w:r>
      <w:r>
        <w:rPr>
          <w:rFonts w:ascii="Times New Roman" w:hAnsi="Times New Roman"/>
          <w:b w:val="false"/>
          <w:i w:val="false"/>
          <w:color w:val="000000"/>
          <w:sz w:val="22"/>
        </w:rPr>
        <w:t xml:space="preserve">Failure to comply with an evaluation order. Failure to comply with an order of the board requiring a licensee to submit to evaluation under Iowa Code section </w:t>
      </w:r>
      <w:hyperlink r:id="rId33">
        <w:r>
          <w:rPr>
            <w:rStyle w:val="Hyperlink"/>
            <w:rFonts w:ascii="Times New Roman" w:hAnsi="Times New Roman"/>
            <w:b w:val="false"/>
            <w:i w:val="false"/>
            <w:color w:val="000000"/>
            <w:sz w:val="22"/>
          </w:rPr>
          <w:t>148.6(2)</w:t>
        </w:r>
      </w:hyperlink>
      <w:r>
        <w:rPr>
          <w:rFonts w:ascii="Times New Roman" w:hAnsi="Times New Roman"/>
          <w:b w:val="false"/>
          <w:i/>
          <w:color w:val="000000"/>
          <w:sz w:val="22"/>
        </w:rPr>
        <w:t>“h”</w:t>
      </w:r>
      <w:r>
        <w:rPr>
          <w:rFonts w:ascii="Times New Roman" w:hAnsi="Times New Roman"/>
          <w:b w:val="false"/>
          <w:i w:val="false"/>
          <w:color w:val="000000"/>
          <w:sz w:val="22"/>
        </w:rPr>
        <w:t xml:space="preserve"> or </w:t>
      </w:r>
      <w:hyperlink r:id="rId34">
        <w:r>
          <w:rPr>
            <w:rStyle w:val="Hyperlink"/>
            <w:rFonts w:ascii="Times New Roman" w:hAnsi="Times New Roman"/>
            <w:b w:val="false"/>
            <w:i w:val="false"/>
            <w:color w:val="000000"/>
            <w:sz w:val="22"/>
          </w:rPr>
          <w:t>272C.9(1)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661.1(14)</w:t>
      </w:r>
      <w:r>
        <w:rPr>
          <w:rFonts w:ascii="Times New Roman" w:hAnsi="Times New Roman"/>
          <w:b w:val="false"/>
          <w:i w:val="false"/>
          <w:color w:val="000000"/>
          <w:sz w:val="22"/>
        </w:rPr>
        <w:t> </w:t>
      </w:r>
      <w:r>
        <w:rPr>
          <w:rFonts w:ascii="Times New Roman" w:hAnsi="Times New Roman"/>
          <w:b w:val="false"/>
          <w:i w:val="false"/>
          <w:color w:val="000000"/>
          <w:sz w:val="22"/>
        </w:rPr>
        <w:t>Knowingly making misleading, deceptive, untrue or fraudulent representations in the practice of a profession. Knowingly making misleading, deceptive, untrue or fraudulent representations in the practice of a profession includes but is not limited to an intentional perversion of the truth, either orally or in writing, by a physician in the practice of medicine and surgery or osteopathic medicine and surgery, by an acupuncturist, or by a genetic counselor.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661.1(15)</w:t>
      </w:r>
      <w:r>
        <w:rPr>
          <w:rFonts w:ascii="Times New Roman" w:hAnsi="Times New Roman"/>
          <w:b w:val="false"/>
          <w:i w:val="false"/>
          <w:color w:val="000000"/>
          <w:sz w:val="22"/>
        </w:rPr>
        <w:t> </w:t>
      </w:r>
      <w:r>
        <w:rPr>
          <w:rFonts w:ascii="Times New Roman" w:hAnsi="Times New Roman"/>
          <w:b w:val="false"/>
          <w:i w:val="false"/>
          <w:color w:val="000000"/>
          <w:sz w:val="22"/>
        </w:rPr>
        <w:t>Fraud in procuring a license. Fraud in procuring a license includes but is not limited to an intentional perversion of the truth in making application for a license to practice acupuncture, medicine and surgery, osteopathic medicine and surgery, or genetic counseling in this state and includes false representations of material fact, whether by word or by conduct, by false or misleading allegations, or by concealment of that which should have been disclosed when making application for a license in this state, or attempting to file or filing with the board any false or forged document submitted with an application for a license in this state.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661.1(16)</w:t>
      </w:r>
      <w:r>
        <w:rPr>
          <w:rFonts w:ascii="Times New Roman" w:hAnsi="Times New Roman"/>
          <w:b w:val="false"/>
          <w:i w:val="false"/>
          <w:color w:val="000000"/>
          <w:sz w:val="22"/>
        </w:rPr>
        <w:t> </w:t>
      </w:r>
      <w:r>
        <w:rPr>
          <w:rFonts w:ascii="Times New Roman" w:hAnsi="Times New Roman"/>
          <w:b w:val="false"/>
          <w:i w:val="false"/>
          <w:color w:val="000000"/>
          <w:sz w:val="22"/>
        </w:rPr>
        <w:t>Fraud in representations as to skill or ability. Fraud in representations as to skill or ability includes but is not limited to a licensee’s having made misleading, deceptive or untrue representations as to the acupuncturist’s, physician’s or genetic counselor’s competency to perform professional services for which the licensee is not qualified to perform by education, training or experience.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661.1(17)</w:t>
      </w:r>
      <w:r>
        <w:rPr>
          <w:rFonts w:ascii="Times New Roman" w:hAnsi="Times New Roman"/>
          <w:b w:val="false"/>
          <w:i w:val="false"/>
          <w:color w:val="000000"/>
          <w:sz w:val="22"/>
        </w:rPr>
        <w:t> </w:t>
      </w:r>
      <w:r>
        <w:rPr>
          <w:rFonts w:ascii="Times New Roman" w:hAnsi="Times New Roman"/>
          <w:b w:val="false"/>
          <w:i w:val="false"/>
          <w:color w:val="000000"/>
          <w:sz w:val="22"/>
        </w:rPr>
        <w:t>Use of untruthful or improbable statements in advertisements. Use of untruthful or improbable statements in advertisements includes but is not limited to an action by a licensee in making known to the public information or intention that is false, deceptive, misleading or promoted through fraud or misrepresentation and includes statements that may consist of but are not limited 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Inflated or unjustified claims that lead to expectations of favorable results;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Self-laudatory claims that imply that the licensee is skilled in a field or specialty of practice for which the licensee is not qualified;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Representations that are likely to cause the average person to misunderstand;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Extravagant claims or claims of extraordinary skills not recognized by the profession.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661.1(18)</w:t>
      </w:r>
      <w:r>
        <w:rPr>
          <w:rFonts w:ascii="Times New Roman" w:hAnsi="Times New Roman"/>
          <w:b w:val="false"/>
          <w:i w:val="false"/>
          <w:color w:val="000000"/>
          <w:sz w:val="22"/>
        </w:rPr>
        <w:t> </w:t>
      </w:r>
      <w:r>
        <w:rPr>
          <w:rFonts w:ascii="Times New Roman" w:hAnsi="Times New Roman"/>
          <w:b w:val="false"/>
          <w:i w:val="false"/>
          <w:color w:val="000000"/>
          <w:sz w:val="22"/>
        </w:rPr>
        <w:t>Obtaining any fee by fraud or misrepresentation.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661.1(19)</w:t>
      </w:r>
      <w:r>
        <w:rPr>
          <w:rFonts w:ascii="Times New Roman" w:hAnsi="Times New Roman"/>
          <w:b w:val="false"/>
          <w:i w:val="false"/>
          <w:color w:val="000000"/>
          <w:sz w:val="22"/>
        </w:rPr>
        <w:t> </w:t>
      </w:r>
      <w:r>
        <w:rPr>
          <w:rFonts w:ascii="Times New Roman" w:hAnsi="Times New Roman"/>
          <w:b w:val="false"/>
          <w:i w:val="false"/>
          <w:color w:val="000000"/>
          <w:sz w:val="22"/>
        </w:rPr>
        <w:t>Acceptance of remuneration for referral of a patient to other health professionals in violation of the law or medical ethics.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661.1(20)</w:t>
      </w:r>
      <w:r>
        <w:rPr>
          <w:rFonts w:ascii="Times New Roman" w:hAnsi="Times New Roman"/>
          <w:b w:val="false"/>
          <w:i w:val="false"/>
          <w:color w:val="000000"/>
          <w:sz w:val="22"/>
        </w:rPr>
        <w:t> </w:t>
      </w:r>
      <w:r>
        <w:rPr>
          <w:rFonts w:ascii="Times New Roman" w:hAnsi="Times New Roman"/>
          <w:b w:val="false"/>
          <w:i w:val="false"/>
          <w:color w:val="000000"/>
          <w:sz w:val="22"/>
        </w:rPr>
        <w:t>Knowingly submitting a false report of continuing education or failure to submit the required reports of continuing education.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661.1(21)</w:t>
      </w:r>
      <w:r>
        <w:rPr>
          <w:rFonts w:ascii="Times New Roman" w:hAnsi="Times New Roman"/>
          <w:b w:val="false"/>
          <w:i w:val="false"/>
          <w:color w:val="000000"/>
          <w:sz w:val="22"/>
        </w:rPr>
        <w:t> </w:t>
      </w:r>
      <w:r>
        <w:rPr>
          <w:rFonts w:ascii="Times New Roman" w:hAnsi="Times New Roman"/>
          <w:b w:val="false"/>
          <w:i w:val="false"/>
          <w:color w:val="000000"/>
          <w:sz w:val="22"/>
        </w:rPr>
        <w:t>Knowingly aiding, assisting, procuring, or advising a person in the unlawful practice of acupuncture, medicine and surgery, or osteopathic medicine and surgery.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661.1(22)</w:t>
      </w:r>
      <w:r>
        <w:rPr>
          <w:rFonts w:ascii="Times New Roman" w:hAnsi="Times New Roman"/>
          <w:b w:val="false"/>
          <w:i w:val="false"/>
          <w:color w:val="000000"/>
          <w:sz w:val="22"/>
        </w:rPr>
        <w:t> </w:t>
      </w:r>
      <w:r>
        <w:rPr>
          <w:rFonts w:ascii="Times New Roman" w:hAnsi="Times New Roman"/>
          <w:b w:val="false"/>
          <w:i w:val="false"/>
          <w:color w:val="000000"/>
          <w:sz w:val="22"/>
        </w:rPr>
        <w:t>Failure to report disciplinary action. Failure to report a license revocation, suspension or other disciplinary action taken against the licensee by a professional licensing authority of another state; an agency of the United States government; or any country, territory or other jurisdiction within 30 days of the final action by such licensing authority. A stay by an appellate court does not negate this requirement; however, if such disciplinary action is overturned or reversed by a court of last resort, such report will be expunged from the records of the board.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661.1(23)</w:t>
      </w:r>
      <w:r>
        <w:rPr>
          <w:rFonts w:ascii="Times New Roman" w:hAnsi="Times New Roman"/>
          <w:b w:val="false"/>
          <w:i w:val="false"/>
          <w:color w:val="000000"/>
          <w:sz w:val="22"/>
        </w:rPr>
        <w:t> </w:t>
      </w:r>
      <w:r>
        <w:rPr>
          <w:rFonts w:ascii="Times New Roman" w:hAnsi="Times New Roman"/>
          <w:b w:val="false"/>
          <w:i w:val="false"/>
          <w:color w:val="000000"/>
          <w:sz w:val="22"/>
        </w:rPr>
        <w:t>Failure to report voluntary agreements. Failure to report any voluntary agreement to restrict the practice of acupuncture, medicine and surgery, osteopathic medicine and surgery, or genetic counseling entered into with this state; another state; the United States; an agency of the federal government; or any country, territory or other jurisdiction.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661.1(24)</w:t>
      </w:r>
      <w:r>
        <w:rPr>
          <w:rFonts w:ascii="Times New Roman" w:hAnsi="Times New Roman"/>
          <w:b w:val="false"/>
          <w:i w:val="false"/>
          <w:color w:val="000000"/>
          <w:sz w:val="22"/>
        </w:rPr>
        <w:t> </w:t>
      </w:r>
      <w:r>
        <w:rPr>
          <w:rFonts w:ascii="Times New Roman" w:hAnsi="Times New Roman"/>
          <w:b w:val="false"/>
          <w:i w:val="false"/>
          <w:color w:val="000000"/>
          <w:sz w:val="22"/>
        </w:rPr>
        <w:t>Failure to notify the board within 30 days after occurrence of any settlement or adverse judgment of a malpractice claim or action.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661.1(25)</w:t>
      </w:r>
      <w:r>
        <w:rPr>
          <w:rFonts w:ascii="Times New Roman" w:hAnsi="Times New Roman"/>
          <w:b w:val="false"/>
          <w:i w:val="false"/>
          <w:color w:val="000000"/>
          <w:sz w:val="22"/>
        </w:rPr>
        <w:t> </w:t>
      </w:r>
      <w:r>
        <w:rPr>
          <w:rFonts w:ascii="Times New Roman" w:hAnsi="Times New Roman"/>
          <w:b w:val="false"/>
          <w:i w:val="false"/>
          <w:color w:val="000000"/>
          <w:sz w:val="22"/>
        </w:rPr>
        <w:t xml:space="preserve">Failure to file the reports required by rule </w:t>
      </w:r>
      <w:hyperlink r:id="rId35">
        <w:r>
          <w:rPr>
            <w:rStyle w:val="Hyperlink"/>
            <w:rFonts w:ascii="Times New Roman" w:hAnsi="Times New Roman"/>
            <w:b w:val="false"/>
            <w:i w:val="false"/>
            <w:color w:val="000000"/>
            <w:sz w:val="22"/>
          </w:rPr>
          <w:t>481—660.2</w:t>
        </w:r>
      </w:hyperlink>
      <w:r>
        <w:rPr>
          <w:rFonts w:ascii="Times New Roman" w:hAnsi="Times New Roman"/>
          <w:b w:val="false"/>
          <w:i w:val="false"/>
          <w:color w:val="000000"/>
          <w:sz w:val="22"/>
        </w:rPr>
        <w:t>(272C) within 30 days concerning wrongful acts or omissions committed by another licensee.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661.1(26)</w:t>
      </w:r>
      <w:r>
        <w:rPr>
          <w:rFonts w:ascii="Times New Roman" w:hAnsi="Times New Roman"/>
          <w:b w:val="false"/>
          <w:i w:val="false"/>
          <w:color w:val="000000"/>
          <w:sz w:val="22"/>
        </w:rPr>
        <w:t> </w:t>
      </w:r>
      <w:r>
        <w:rPr>
          <w:rFonts w:ascii="Times New Roman" w:hAnsi="Times New Roman"/>
          <w:b w:val="false"/>
          <w:i w:val="false"/>
          <w:color w:val="000000"/>
          <w:sz w:val="22"/>
        </w:rPr>
        <w:t xml:space="preserve">Failure to comply with a valid subpoena issued by the board pursuant to Iowa Code sections </w:t>
      </w:r>
      <w:hyperlink r:id="rId36">
        <w:r>
          <w:rPr>
            <w:rStyle w:val="Hyperlink"/>
            <w:rFonts w:ascii="Times New Roman" w:hAnsi="Times New Roman"/>
            <w:b w:val="false"/>
            <w:i w:val="false"/>
            <w:color w:val="000000"/>
            <w:sz w:val="22"/>
          </w:rPr>
          <w:t>17A.13</w:t>
        </w:r>
      </w:hyperlink>
      <w:r>
        <w:rPr>
          <w:rFonts w:ascii="Times New Roman" w:hAnsi="Times New Roman"/>
          <w:b w:val="false"/>
          <w:i w:val="false"/>
          <w:color w:val="000000"/>
          <w:sz w:val="22"/>
        </w:rPr>
        <w:t xml:space="preserve"> and </w:t>
      </w:r>
      <w:hyperlink r:id="rId37">
        <w:r>
          <w:rPr>
            <w:rStyle w:val="Hyperlink"/>
            <w:rFonts w:ascii="Times New Roman" w:hAnsi="Times New Roman"/>
            <w:b w:val="false"/>
            <w:i w:val="false"/>
            <w:color w:val="000000"/>
            <w:sz w:val="22"/>
          </w:rPr>
          <w:t>272C.6</w:t>
        </w:r>
      </w:hyperlink>
      <w:r>
        <w:rPr>
          <w:rFonts w:ascii="Times New Roman" w:hAnsi="Times New Roman"/>
          <w:b w:val="false"/>
          <w:i w:val="false"/>
          <w:color w:val="000000"/>
          <w:sz w:val="22"/>
        </w:rPr>
        <w:t xml:space="preserve">, </w:t>
      </w:r>
      <w:hyperlink r:id="rId38">
        <w:r>
          <w:rPr>
            <w:rStyle w:val="Hyperlink"/>
            <w:rFonts w:ascii="Times New Roman" w:hAnsi="Times New Roman"/>
            <w:b w:val="false"/>
            <w:i w:val="false"/>
            <w:color w:val="000000"/>
            <w:sz w:val="22"/>
          </w:rPr>
          <w:t>481—subrule 662.2(6)</w:t>
        </w:r>
      </w:hyperlink>
      <w:r>
        <w:rPr>
          <w:rFonts w:ascii="Times New Roman" w:hAnsi="Times New Roman"/>
          <w:b w:val="false"/>
          <w:i w:val="false"/>
          <w:color w:val="000000"/>
          <w:sz w:val="22"/>
        </w:rPr>
        <w:t xml:space="preserve">, and </w:t>
      </w:r>
      <w:hyperlink r:id="rId39">
        <w:r>
          <w:rPr>
            <w:rStyle w:val="Hyperlink"/>
            <w:rFonts w:ascii="Times New Roman" w:hAnsi="Times New Roman"/>
            <w:b w:val="false"/>
            <w:i w:val="false"/>
            <w:color w:val="000000"/>
            <w:sz w:val="22"/>
          </w:rPr>
          <w:t>481—Chapter 506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661.1(27)</w:t>
      </w:r>
      <w:r>
        <w:rPr>
          <w:rFonts w:ascii="Times New Roman" w:hAnsi="Times New Roman"/>
          <w:b w:val="false"/>
          <w:i w:val="false"/>
          <w:color w:val="000000"/>
          <w:sz w:val="22"/>
        </w:rPr>
        <w:t> </w:t>
      </w:r>
      <w:r>
        <w:rPr>
          <w:rFonts w:ascii="Times New Roman" w:hAnsi="Times New Roman"/>
          <w:b w:val="false"/>
          <w:i w:val="false"/>
          <w:color w:val="000000"/>
          <w:sz w:val="22"/>
        </w:rPr>
        <w:t>Failure to submit to a board-ordered mental, physical, clinical competency, or substance abuse evaluation or drug or alcohol screening.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661.1(28)</w:t>
      </w:r>
      <w:r>
        <w:rPr>
          <w:rFonts w:ascii="Times New Roman" w:hAnsi="Times New Roman"/>
          <w:b w:val="false"/>
          <w:i w:val="false"/>
          <w:color w:val="000000"/>
          <w:sz w:val="22"/>
        </w:rPr>
        <w:t> </w:t>
      </w:r>
      <w:r>
        <w:rPr>
          <w:rFonts w:ascii="Times New Roman" w:hAnsi="Times New Roman"/>
          <w:b w:val="false"/>
          <w:i w:val="false"/>
          <w:color w:val="000000"/>
          <w:sz w:val="22"/>
        </w:rPr>
        <w:t>The inappropriate use of a rubber stamp to affix a signature to a prescription. A person who is unable, due to a disability, to make a written signature or mark, however, may substitute in lieu of a signature a rubber stamp that is adopted by the disabled person for all purposes requiring a signature and that is affixed by the disabled person or affixed by another person upon the request of the disabled person and in the presence of the disabled person.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661.1(29)</w:t>
      </w:r>
      <w:r>
        <w:rPr>
          <w:rFonts w:ascii="Times New Roman" w:hAnsi="Times New Roman"/>
          <w:b w:val="false"/>
          <w:i w:val="false"/>
          <w:color w:val="000000"/>
          <w:sz w:val="22"/>
        </w:rPr>
        <w:t> </w:t>
      </w:r>
      <w:r>
        <w:rPr>
          <w:rFonts w:ascii="Times New Roman" w:hAnsi="Times New Roman"/>
          <w:b w:val="false"/>
          <w:i w:val="false"/>
          <w:color w:val="000000"/>
          <w:sz w:val="22"/>
        </w:rPr>
        <w:t>Maintaining any presigned prescription that is intended to be completed and issued at a later time.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661.1(30)</w:t>
      </w:r>
      <w:r>
        <w:rPr>
          <w:rFonts w:ascii="Times New Roman" w:hAnsi="Times New Roman"/>
          <w:b w:val="false"/>
          <w:i w:val="false"/>
          <w:color w:val="000000"/>
          <w:sz w:val="22"/>
        </w:rPr>
        <w:t> </w:t>
      </w:r>
      <w:r>
        <w:rPr>
          <w:rFonts w:ascii="Times New Roman" w:hAnsi="Times New Roman"/>
          <w:b w:val="false"/>
          <w:i w:val="false"/>
          <w:color w:val="000000"/>
          <w:sz w:val="22"/>
        </w:rPr>
        <w:t xml:space="preserve">Failure to comply with the recommendations issued by the Centers for Disease Control and Prevention of the United States Department of Health and Human Services for preventing transmission of human immunodeficiency virus and hepatitis B virus to patients during exposure-prone invasive procedures, or with the protocols established pursuant to Iowa Code chapter </w:t>
      </w:r>
      <w:hyperlink r:id="rId40">
        <w:r>
          <w:rPr>
            <w:rStyle w:val="Hyperlink"/>
            <w:rFonts w:ascii="Times New Roman" w:hAnsi="Times New Roman"/>
            <w:b w:val="false"/>
            <w:i w:val="false"/>
            <w:color w:val="000000"/>
            <w:sz w:val="22"/>
          </w:rPr>
          <w:t>139A</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661.1(31)</w:t>
      </w:r>
      <w:r>
        <w:rPr>
          <w:rFonts w:ascii="Times New Roman" w:hAnsi="Times New Roman"/>
          <w:b w:val="false"/>
          <w:i w:val="false"/>
          <w:color w:val="000000"/>
          <w:sz w:val="22"/>
        </w:rPr>
        <w:t> </w:t>
      </w:r>
      <w:r>
        <w:rPr>
          <w:rFonts w:ascii="Times New Roman" w:hAnsi="Times New Roman"/>
          <w:b w:val="false"/>
          <w:i w:val="false"/>
          <w:color w:val="000000"/>
          <w:sz w:val="22"/>
        </w:rPr>
        <w:t xml:space="preserve">Failure by a physician with HIV or HBV who practices in a hospital setting, and who performs exposure-prone procedures, to report the physician’s HIV or HBV status to an expert review panel established by a hospital under Iowa Code section </w:t>
      </w:r>
      <w:hyperlink r:id="rId41">
        <w:r>
          <w:rPr>
            <w:rStyle w:val="Hyperlink"/>
            <w:rFonts w:ascii="Times New Roman" w:hAnsi="Times New Roman"/>
            <w:b w:val="false"/>
            <w:i w:val="false"/>
            <w:color w:val="000000"/>
            <w:sz w:val="22"/>
          </w:rPr>
          <w:t>139A.22(1)</w:t>
        </w:r>
      </w:hyperlink>
      <w:r>
        <w:rPr>
          <w:rFonts w:ascii="Times New Roman" w:hAnsi="Times New Roman"/>
          <w:b w:val="false"/>
          <w:i w:val="false"/>
          <w:color w:val="000000"/>
          <w:sz w:val="22"/>
        </w:rPr>
        <w:t xml:space="preserve"> or to an expert review panel established by the department of health and human services under Iowa Code section </w:t>
      </w:r>
      <w:hyperlink r:id="rId42">
        <w:r>
          <w:rPr>
            <w:rStyle w:val="Hyperlink"/>
            <w:rFonts w:ascii="Times New Roman" w:hAnsi="Times New Roman"/>
            <w:b w:val="false"/>
            <w:i w:val="false"/>
            <w:color w:val="000000"/>
            <w:sz w:val="22"/>
          </w:rPr>
          <w:t>139A.22(3)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661.1(32)</w:t>
      </w:r>
      <w:r>
        <w:rPr>
          <w:rFonts w:ascii="Times New Roman" w:hAnsi="Times New Roman"/>
          <w:b w:val="false"/>
          <w:i w:val="false"/>
          <w:color w:val="000000"/>
          <w:sz w:val="22"/>
        </w:rPr>
        <w:t> </w:t>
      </w:r>
      <w:r>
        <w:rPr>
          <w:rFonts w:ascii="Times New Roman" w:hAnsi="Times New Roman"/>
          <w:b w:val="false"/>
          <w:i w:val="false"/>
          <w:color w:val="000000"/>
          <w:sz w:val="22"/>
        </w:rPr>
        <w:t xml:space="preserve">Failure by a physician with HIV or HBV who practices outside a hospital setting, and who performs exposure-prone procedures, to report the physician’s HIV or HBV status to an expert review panel established by the department of health and human services under Iowa Code section </w:t>
      </w:r>
      <w:hyperlink r:id="rId43">
        <w:r>
          <w:rPr>
            <w:rStyle w:val="Hyperlink"/>
            <w:rFonts w:ascii="Times New Roman" w:hAnsi="Times New Roman"/>
            <w:b w:val="false"/>
            <w:i w:val="false"/>
            <w:color w:val="000000"/>
            <w:sz w:val="22"/>
          </w:rPr>
          <w:t>139A.22(3)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661.1(33)</w:t>
      </w:r>
      <w:r>
        <w:rPr>
          <w:rFonts w:ascii="Times New Roman" w:hAnsi="Times New Roman"/>
          <w:b w:val="false"/>
          <w:i w:val="false"/>
          <w:color w:val="000000"/>
          <w:sz w:val="22"/>
        </w:rPr>
        <w:t> </w:t>
      </w:r>
      <w:r>
        <w:rPr>
          <w:rFonts w:ascii="Times New Roman" w:hAnsi="Times New Roman"/>
          <w:b w:val="false"/>
          <w:i w:val="false"/>
          <w:color w:val="000000"/>
          <w:sz w:val="22"/>
        </w:rPr>
        <w:t xml:space="preserve">Failure by a physician subject to the reporting requirements of subrules </w:t>
      </w:r>
      <w:hyperlink r:id="rId44">
        <w:r>
          <w:rPr>
            <w:rStyle w:val="Hyperlink"/>
            <w:rFonts w:ascii="Times New Roman" w:hAnsi="Times New Roman"/>
            <w:b w:val="false"/>
            <w:i w:val="false"/>
            <w:color w:val="000000"/>
            <w:sz w:val="22"/>
          </w:rPr>
          <w:t>661.1(31)</w:t>
        </w:r>
      </w:hyperlink>
      <w:r>
        <w:rPr>
          <w:rFonts w:ascii="Times New Roman" w:hAnsi="Times New Roman"/>
          <w:b w:val="false"/>
          <w:i w:val="false"/>
          <w:color w:val="000000"/>
          <w:sz w:val="22"/>
        </w:rPr>
        <w:t xml:space="preserve"> and </w:t>
      </w:r>
      <w:hyperlink r:id="rId45">
        <w:r>
          <w:rPr>
            <w:rStyle w:val="Hyperlink"/>
            <w:rFonts w:ascii="Times New Roman" w:hAnsi="Times New Roman"/>
            <w:b w:val="false"/>
            <w:i w:val="false"/>
            <w:color w:val="000000"/>
            <w:sz w:val="22"/>
          </w:rPr>
          <w:t>661.1(32)</w:t>
        </w:r>
      </w:hyperlink>
      <w:r>
        <w:rPr>
          <w:rFonts w:ascii="Times New Roman" w:hAnsi="Times New Roman"/>
          <w:b w:val="false"/>
          <w:i w:val="false"/>
          <w:color w:val="000000"/>
          <w:sz w:val="22"/>
        </w:rPr>
        <w:t xml:space="preserve"> to comply with the recommendations of an expert review panel established by the department of health and human services pursuant to Iowa Code section </w:t>
      </w:r>
      <w:hyperlink r:id="rId46">
        <w:r>
          <w:rPr>
            <w:rStyle w:val="Hyperlink"/>
            <w:rFonts w:ascii="Times New Roman" w:hAnsi="Times New Roman"/>
            <w:b w:val="false"/>
            <w:i w:val="false"/>
            <w:color w:val="000000"/>
            <w:sz w:val="22"/>
          </w:rPr>
          <w:t>139A.22(3)</w:t>
        </w:r>
      </w:hyperlink>
      <w:r>
        <w:rPr>
          <w:rFonts w:ascii="Times New Roman" w:hAnsi="Times New Roman"/>
          <w:b w:val="false"/>
          <w:i w:val="false"/>
          <w:color w:val="000000"/>
          <w:sz w:val="22"/>
        </w:rPr>
        <w:t xml:space="preserve">, with hospital protocols established pursuant to Iowa Code section </w:t>
      </w:r>
      <w:hyperlink r:id="rId47">
        <w:r>
          <w:rPr>
            <w:rStyle w:val="Hyperlink"/>
            <w:rFonts w:ascii="Times New Roman" w:hAnsi="Times New Roman"/>
            <w:b w:val="false"/>
            <w:i w:val="false"/>
            <w:color w:val="000000"/>
            <w:sz w:val="22"/>
          </w:rPr>
          <w:t>139A.22(1)</w:t>
        </w:r>
      </w:hyperlink>
      <w:r>
        <w:rPr>
          <w:rFonts w:ascii="Times New Roman" w:hAnsi="Times New Roman"/>
          <w:b w:val="false"/>
          <w:i w:val="false"/>
          <w:color w:val="000000"/>
          <w:sz w:val="22"/>
        </w:rPr>
        <w:t xml:space="preserve">, or with health care facility procedures established pursuant to Iowa Code section </w:t>
      </w:r>
      <w:hyperlink r:id="rId48">
        <w:r>
          <w:rPr>
            <w:rStyle w:val="Hyperlink"/>
            <w:rFonts w:ascii="Times New Roman" w:hAnsi="Times New Roman"/>
            <w:b w:val="false"/>
            <w:i w:val="false"/>
            <w:color w:val="000000"/>
            <w:sz w:val="22"/>
          </w:rPr>
          <w:t>139A.22(2)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661.1(34)</w:t>
      </w:r>
      <w:r>
        <w:rPr>
          <w:rFonts w:ascii="Times New Roman" w:hAnsi="Times New Roman"/>
          <w:b w:val="false"/>
          <w:i w:val="false"/>
          <w:color w:val="000000"/>
          <w:sz w:val="22"/>
        </w:rPr>
        <w:t> </w:t>
      </w:r>
      <w:r>
        <w:rPr>
          <w:rFonts w:ascii="Times New Roman" w:hAnsi="Times New Roman"/>
          <w:b w:val="false"/>
          <w:i w:val="false"/>
          <w:color w:val="000000"/>
          <w:sz w:val="22"/>
        </w:rPr>
        <w:t xml:space="preserve">Noncompliance with a support order or with a written agreement for payment of support as evidenced by a certificate of noncompliance issued pursuant to Iowa Code chapter </w:t>
      </w:r>
      <w:hyperlink r:id="rId49">
        <w:r>
          <w:rPr>
            <w:rStyle w:val="Hyperlink"/>
            <w:rFonts w:ascii="Times New Roman" w:hAnsi="Times New Roman"/>
            <w:b w:val="false"/>
            <w:i w:val="false"/>
            <w:color w:val="000000"/>
            <w:sz w:val="22"/>
          </w:rPr>
          <w:t>252J</w:t>
        </w:r>
      </w:hyperlink>
      <w:r>
        <w:rPr>
          <w:rFonts w:ascii="Times New Roman" w:hAnsi="Times New Roman"/>
          <w:b w:val="false"/>
          <w:i w:val="false"/>
          <w:color w:val="000000"/>
          <w:sz w:val="22"/>
        </w:rPr>
        <w:t xml:space="preserve">. Disciplinary proceedings initiated under this rule shall follow the procedures set forth in Iowa Code chapter </w:t>
      </w:r>
      <w:hyperlink r:id="rId50">
        <w:r>
          <w:rPr>
            <w:rStyle w:val="Hyperlink"/>
            <w:rFonts w:ascii="Times New Roman" w:hAnsi="Times New Roman"/>
            <w:b w:val="false"/>
            <w:i w:val="false"/>
            <w:color w:val="000000"/>
            <w:sz w:val="22"/>
          </w:rPr>
          <w:t>252J</w:t>
        </w:r>
      </w:hyperlink>
      <w:r>
        <w:rPr>
          <w:rFonts w:ascii="Times New Roman" w:hAnsi="Times New Roman"/>
          <w:b w:val="false"/>
          <w:i w:val="false"/>
          <w:color w:val="000000"/>
          <w:sz w:val="22"/>
        </w:rPr>
        <w:t xml:space="preserve"> and </w:t>
      </w:r>
      <w:hyperlink r:id="rId51">
        <w:r>
          <w:rPr>
            <w:rStyle w:val="Hyperlink"/>
            <w:rFonts w:ascii="Times New Roman" w:hAnsi="Times New Roman"/>
            <w:b w:val="false"/>
            <w:i w:val="false"/>
            <w:color w:val="000000"/>
            <w:sz w:val="22"/>
          </w:rPr>
          <w:t>481—Chapter 8</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661.1(35)</w:t>
      </w:r>
      <w:r>
        <w:rPr>
          <w:rFonts w:ascii="Times New Roman" w:hAnsi="Times New Roman"/>
          <w:b w:val="false"/>
          <w:i w:val="false"/>
          <w:color w:val="000000"/>
          <w:sz w:val="22"/>
        </w:rPr>
        <w:t> </w:t>
      </w:r>
      <w:r>
        <w:rPr>
          <w:rFonts w:ascii="Times New Roman" w:hAnsi="Times New Roman"/>
          <w:b w:val="false"/>
          <w:i w:val="false"/>
          <w:color w:val="000000"/>
          <w:sz w:val="22"/>
        </w:rPr>
        <w:t>Fraud in the practice. Fraud in the practice includes but is not limited to any misleading, deceptive, untrue or fraudulent representation in the practice of acupuncture, medicine or surgery, or genetic counseling, made orally or in writing, that is contrary to the licensee’s legal or equitable duty, trust, or confidence and is deemed by the board to be contrary to good conscience, prejudicial to the public welfare, and potentially injurious to another. Proof of actual injury need not be established.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661.1(36)</w:t>
      </w:r>
      <w:r>
        <w:rPr>
          <w:rFonts w:ascii="Times New Roman" w:hAnsi="Times New Roman"/>
          <w:b w:val="false"/>
          <w:i w:val="false"/>
          <w:color w:val="000000"/>
          <w:sz w:val="22"/>
        </w:rPr>
        <w:t> </w:t>
      </w:r>
      <w:r>
        <w:rPr>
          <w:rFonts w:ascii="Times New Roman" w:hAnsi="Times New Roman"/>
          <w:b w:val="false"/>
          <w:i w:val="false"/>
          <w:color w:val="000000"/>
          <w:sz w:val="22"/>
        </w:rPr>
        <w:t>Improper management of medical records. Improper management of medical records includes but is not limited to failure to maintain timely, accurate, and complete medical records.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661.1(37)</w:t>
      </w:r>
      <w:r>
        <w:rPr>
          <w:rFonts w:ascii="Times New Roman" w:hAnsi="Times New Roman"/>
          <w:b w:val="false"/>
          <w:i w:val="false"/>
          <w:color w:val="000000"/>
          <w:sz w:val="22"/>
        </w:rPr>
        <w:t> </w:t>
      </w:r>
      <w:r>
        <w:rPr>
          <w:rFonts w:ascii="Times New Roman" w:hAnsi="Times New Roman"/>
          <w:b w:val="false"/>
          <w:i w:val="false"/>
          <w:color w:val="000000"/>
          <w:sz w:val="22"/>
        </w:rPr>
        <w:t>Failure to transfer medical records to another physician in a timely fashion when legally requested to do so by the subject patient or by a legally designated representative of the subject patient.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661.1(38)</w:t>
      </w:r>
      <w:r>
        <w:rPr>
          <w:rFonts w:ascii="Times New Roman" w:hAnsi="Times New Roman"/>
          <w:b w:val="false"/>
          <w:i w:val="false"/>
          <w:color w:val="000000"/>
          <w:sz w:val="22"/>
        </w:rPr>
        <w:t> </w:t>
      </w:r>
      <w:r>
        <w:rPr>
          <w:rFonts w:ascii="Times New Roman" w:hAnsi="Times New Roman"/>
          <w:b w:val="false"/>
          <w:i w:val="false"/>
          <w:color w:val="000000"/>
          <w:sz w:val="22"/>
        </w:rPr>
        <w:t xml:space="preserve">Failure to respond to or comply with a board investigation initiated pursuant to Iowa Code section </w:t>
      </w:r>
      <w:hyperlink r:id="rId52">
        <w:r>
          <w:rPr>
            <w:rStyle w:val="Hyperlink"/>
            <w:rFonts w:ascii="Times New Roman" w:hAnsi="Times New Roman"/>
            <w:b w:val="false"/>
            <w:i w:val="false"/>
            <w:color w:val="000000"/>
            <w:sz w:val="22"/>
          </w:rPr>
          <w:t>272C.3</w:t>
        </w:r>
      </w:hyperlink>
      <w:r>
        <w:rPr>
          <w:rFonts w:ascii="Times New Roman" w:hAnsi="Times New Roman"/>
          <w:b w:val="false"/>
          <w:i w:val="false"/>
          <w:color w:val="000000"/>
          <w:sz w:val="22"/>
        </w:rPr>
        <w:t xml:space="preserve"> and rule </w:t>
      </w:r>
      <w:hyperlink r:id="rId53">
        <w:r>
          <w:rPr>
            <w:rStyle w:val="Hyperlink"/>
            <w:rFonts w:ascii="Times New Roman" w:hAnsi="Times New Roman"/>
            <w:b w:val="false"/>
            <w:i w:val="false"/>
            <w:color w:val="000000"/>
            <w:sz w:val="22"/>
          </w:rPr>
          <w:t>481—662.2</w:t>
        </w:r>
      </w:hyperlink>
      <w:r>
        <w:rPr>
          <w:rFonts w:ascii="Times New Roman" w:hAnsi="Times New Roman"/>
          <w:b w:val="false"/>
          <w:i w:val="false"/>
          <w:color w:val="000000"/>
          <w:sz w:val="22"/>
        </w:rPr>
        <w:t>(17A,147,148,272C).</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661.1(39)</w:t>
      </w:r>
      <w:r>
        <w:rPr>
          <w:rFonts w:ascii="Times New Roman" w:hAnsi="Times New Roman"/>
          <w:b w:val="false"/>
          <w:i w:val="false"/>
          <w:color w:val="000000"/>
          <w:sz w:val="22"/>
        </w:rPr>
        <w:t> </w:t>
      </w:r>
      <w:r>
        <w:rPr>
          <w:rFonts w:ascii="Times New Roman" w:hAnsi="Times New Roman"/>
          <w:b w:val="false"/>
          <w:i w:val="false"/>
          <w:color w:val="000000"/>
          <w:sz w:val="22"/>
        </w:rPr>
        <w:t xml:space="preserve">Failure to comply with the direct billing requirements for anatomic pathology services established in Iowa Code section </w:t>
      </w:r>
      <w:hyperlink r:id="rId54">
        <w:r>
          <w:rPr>
            <w:rStyle w:val="Hyperlink"/>
            <w:rFonts w:ascii="Times New Roman" w:hAnsi="Times New Roman"/>
            <w:b w:val="false"/>
            <w:i w:val="false"/>
            <w:color w:val="000000"/>
            <w:sz w:val="22"/>
          </w:rPr>
          <w:t>147.106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661.1(40)</w:t>
      </w:r>
      <w:r>
        <w:rPr>
          <w:rFonts w:ascii="Times New Roman" w:hAnsi="Times New Roman"/>
          <w:b w:val="false"/>
          <w:i w:val="false"/>
          <w:color w:val="000000"/>
          <w:sz w:val="22"/>
        </w:rPr>
        <w:t> </w:t>
      </w:r>
      <w:r>
        <w:rPr>
          <w:rFonts w:ascii="Times New Roman" w:hAnsi="Times New Roman"/>
          <w:b w:val="false"/>
          <w:i w:val="false"/>
          <w:color w:val="000000"/>
          <w:sz w:val="22"/>
        </w:rPr>
        <w:t>Failure to submit an additional completed fingerprint card and applicable fee, within 30 days of a request made by board staff, when a previous fingerprint submission has been determined to be unacceptable.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661.1(41)</w:t>
      </w:r>
      <w:r>
        <w:rPr>
          <w:rFonts w:ascii="Times New Roman" w:hAnsi="Times New Roman"/>
          <w:b w:val="false"/>
          <w:i w:val="false"/>
          <w:color w:val="000000"/>
          <w:sz w:val="22"/>
        </w:rPr>
        <w:t> </w:t>
      </w:r>
      <w:r>
        <w:rPr>
          <w:rFonts w:ascii="Times New Roman" w:hAnsi="Times New Roman"/>
          <w:b w:val="false"/>
          <w:i w:val="false"/>
          <w:color w:val="000000"/>
          <w:sz w:val="22"/>
        </w:rPr>
        <w:t>Failure to respond to the board or submit continuing education materials during a board audit, within 30 days of a request made by board staff or within the extension of time if one had been granted.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661.1(42)</w:t>
      </w:r>
      <w:r>
        <w:rPr>
          <w:rFonts w:ascii="Times New Roman" w:hAnsi="Times New Roman"/>
          <w:b w:val="false"/>
          <w:i w:val="false"/>
          <w:color w:val="000000"/>
          <w:sz w:val="22"/>
        </w:rPr>
        <w:t> </w:t>
      </w:r>
      <w:r>
        <w:rPr>
          <w:rFonts w:ascii="Times New Roman" w:hAnsi="Times New Roman"/>
          <w:b w:val="false"/>
          <w:i w:val="false"/>
          <w:color w:val="000000"/>
          <w:sz w:val="22"/>
        </w:rPr>
        <w:t>Failure to respond to the board or submit requested mandatory training for identifying and reporting abuse materials during a board audit, within 30 days of a request made by board staff or within the extension of time if one had been granted.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661.1(43)</w:t>
      </w:r>
      <w:r>
        <w:rPr>
          <w:rFonts w:ascii="Times New Roman" w:hAnsi="Times New Roman"/>
          <w:b w:val="false"/>
          <w:i w:val="false"/>
          <w:color w:val="000000"/>
          <w:sz w:val="22"/>
        </w:rPr>
        <w:t> </w:t>
      </w:r>
      <w:r>
        <w:rPr>
          <w:rFonts w:ascii="Times New Roman" w:hAnsi="Times New Roman"/>
          <w:b w:val="false"/>
          <w:i w:val="false"/>
          <w:color w:val="000000"/>
          <w:sz w:val="22"/>
        </w:rPr>
        <w:t xml:space="preserve">Nonpayment of state debt as evidenced by a certificate of noncompliance issued pursuant to Iowa Code chapter </w:t>
      </w:r>
      <w:hyperlink r:id="rId55">
        <w:r>
          <w:rPr>
            <w:rStyle w:val="Hyperlink"/>
            <w:rFonts w:ascii="Times New Roman" w:hAnsi="Times New Roman"/>
            <w:b w:val="false"/>
            <w:i w:val="false"/>
            <w:color w:val="000000"/>
            <w:sz w:val="22"/>
          </w:rPr>
          <w:t>272D</w:t>
        </w:r>
      </w:hyperlink>
      <w:r>
        <w:rPr>
          <w:rFonts w:ascii="Times New Roman" w:hAnsi="Times New Roman"/>
          <w:b w:val="false"/>
          <w:i w:val="false"/>
          <w:color w:val="000000"/>
          <w:sz w:val="22"/>
        </w:rPr>
        <w:t xml:space="preserve"> and </w:t>
      </w:r>
      <w:hyperlink r:id="rId56">
        <w:r>
          <w:rPr>
            <w:rStyle w:val="Hyperlink"/>
            <w:rFonts w:ascii="Times New Roman" w:hAnsi="Times New Roman"/>
            <w:b w:val="false"/>
            <w:i w:val="false"/>
            <w:color w:val="000000"/>
            <w:sz w:val="22"/>
          </w:rPr>
          <w:t>481—Chapter 8</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661.1(44)</w:t>
      </w:r>
      <w:r>
        <w:rPr>
          <w:rFonts w:ascii="Times New Roman" w:hAnsi="Times New Roman"/>
          <w:b w:val="false"/>
          <w:i w:val="false"/>
          <w:color w:val="000000"/>
          <w:sz w:val="22"/>
        </w:rPr>
        <w:t> </w:t>
      </w:r>
      <w:r>
        <w:rPr>
          <w:rFonts w:ascii="Times New Roman" w:hAnsi="Times New Roman"/>
          <w:b w:val="false"/>
          <w:i w:val="false"/>
          <w:color w:val="000000"/>
          <w:sz w:val="22"/>
        </w:rPr>
        <w:t>Voluntary agreements. The board may take disciplinary action against a physician if that physician has entered into a voluntary agreement to restrict the practice of medicine in another state, district, territory, or country.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board will use the following criteria to determine if a physician has entered into a voluntary agreement within the meaning of Iowa Code section </w:t>
      </w:r>
      <w:hyperlink r:id="rId57">
        <w:r>
          <w:rPr>
            <w:rStyle w:val="Hyperlink"/>
            <w:rFonts w:ascii="Times New Roman" w:hAnsi="Times New Roman"/>
            <w:b w:val="false"/>
            <w:i w:val="false"/>
            <w:color w:val="000000"/>
            <w:sz w:val="22"/>
          </w:rPr>
          <w:t>148.12</w:t>
        </w:r>
      </w:hyperlink>
      <w:r>
        <w:rPr>
          <w:rFonts w:ascii="Times New Roman" w:hAnsi="Times New Roman"/>
          <w:b w:val="false"/>
          <w:i w:val="false"/>
          <w:color w:val="000000"/>
          <w:sz w:val="22"/>
        </w:rPr>
        <w:t xml:space="preserve"> and this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voluntary agreement was signed during or at the conclusion of a disciplinary investigation, or to prevent a matter from proceeding to a disciplinary investigation.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agreement includes any or all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Education or testing that is beyond the jurisdiction’s usual requirement for a license or license renewal.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An assignment beyond what is required for license renewal or regular practice (e.g., adoption of a protocol, use of a chaperone, completion of specified continuing education, or completion of a writing assignment).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prohibition or limitation on practice privileges (e.g., a restriction on prescribing or administering controlled substances).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Compliance with an educational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A requirement that surveys or reviews of patients or patient records be conducted.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A practice monitoring requirement.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A special notification requirement for a change of address.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Payment that is not routinely required of all physicians in that jurisdiction, such as a civil penalty, fine, or reimbursement of any expenses.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Any other activity or requirements imposed by the board that are beyond the usual licensure requirements for obtaining, renewing, or reinstating a license in that jurisdiction.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certified copy of the voluntary agreement shall be considered prima facie evidence.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661.1(45)</w:t>
      </w:r>
      <w:r>
        <w:rPr>
          <w:rFonts w:ascii="Times New Roman" w:hAnsi="Times New Roman"/>
          <w:b w:val="false"/>
          <w:i w:val="false"/>
          <w:color w:val="000000"/>
          <w:sz w:val="22"/>
        </w:rPr>
        <w:t> </w:t>
      </w:r>
      <w:r>
        <w:rPr>
          <w:rFonts w:ascii="Times New Roman" w:hAnsi="Times New Roman"/>
          <w:b w:val="false"/>
          <w:i w:val="false"/>
          <w:color w:val="000000"/>
          <w:sz w:val="22"/>
        </w:rPr>
        <w:t>Performing or attempting to perform any surgical or invasive procedure on the wrong patient or at the wrong anatomical site or performing the wrong surgical procedure on a patient.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661.1(46)</w:t>
      </w:r>
      <w:r>
        <w:rPr>
          <w:rFonts w:ascii="Times New Roman" w:hAnsi="Times New Roman"/>
          <w:b w:val="false"/>
          <w:i w:val="false"/>
          <w:color w:val="000000"/>
          <w:sz w:val="22"/>
        </w:rPr>
        <w:t> </w:t>
      </w:r>
      <w:r>
        <w:rPr>
          <w:rFonts w:ascii="Times New Roman" w:hAnsi="Times New Roman"/>
          <w:b w:val="false"/>
          <w:i w:val="false"/>
          <w:color w:val="000000"/>
          <w:sz w:val="22"/>
        </w:rPr>
        <w:t xml:space="preserve">Violation of the standards of practice for medical directors who delegate and supervise medical aesthetic services performed by nonphysician persons at a medical spa as set out in rule </w:t>
      </w:r>
      <w:hyperlink r:id="rId58">
        <w:r>
          <w:rPr>
            <w:rStyle w:val="Hyperlink"/>
            <w:rFonts w:ascii="Times New Roman" w:hAnsi="Times New Roman"/>
            <w:b w:val="false"/>
            <w:i w:val="false"/>
            <w:color w:val="000000"/>
            <w:sz w:val="22"/>
          </w:rPr>
          <w:t>481—655.8</w:t>
        </w:r>
      </w:hyperlink>
      <w:r>
        <w:rPr>
          <w:rFonts w:ascii="Times New Roman" w:hAnsi="Times New Roman"/>
          <w:b w:val="false"/>
          <w:i w:val="false"/>
          <w:color w:val="000000"/>
          <w:sz w:val="22"/>
        </w:rPr>
        <w:t>(148,272C).</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661.1(47)</w:t>
      </w:r>
      <w:r>
        <w:rPr>
          <w:rFonts w:ascii="Times New Roman" w:hAnsi="Times New Roman"/>
          <w:b w:val="false"/>
          <w:i w:val="false"/>
          <w:color w:val="000000"/>
          <w:sz w:val="22"/>
        </w:rPr>
        <w:t> </w:t>
      </w:r>
      <w:r>
        <w:rPr>
          <w:rFonts w:ascii="Times New Roman" w:hAnsi="Times New Roman"/>
          <w:b w:val="false"/>
          <w:i w:val="false"/>
          <w:color w:val="000000"/>
          <w:sz w:val="22"/>
        </w:rPr>
        <w:t xml:space="preserve">Failure to provide the board, within 14 days of a request by the board as set out in </w:t>
      </w:r>
      <w:hyperlink r:id="rId59">
        <w:r>
          <w:rPr>
            <w:rStyle w:val="Hyperlink"/>
            <w:rFonts w:ascii="Times New Roman" w:hAnsi="Times New Roman"/>
            <w:b w:val="false"/>
            <w:i w:val="false"/>
            <w:color w:val="000000"/>
            <w:sz w:val="22"/>
          </w:rPr>
          <w:t>481—paragraph 655.8(5)</w:t>
        </w:r>
      </w:hyperlink>
      <w:r>
        <w:rPr>
          <w:rFonts w:ascii="Times New Roman" w:hAnsi="Times New Roman"/>
          <w:b w:val="false"/>
          <w:i/>
          <w:color w:val="000000"/>
          <w:sz w:val="22"/>
        </w:rPr>
        <w:t>“l,”</w:t>
      </w:r>
      <w:r>
        <w:rPr>
          <w:rFonts w:ascii="Times New Roman" w:hAnsi="Times New Roman"/>
          <w:b w:val="false"/>
          <w:i w:val="false"/>
          <w:color w:val="000000"/>
          <w:sz w:val="22"/>
        </w:rPr>
        <w:t xml:space="preserve"> written verification of the education and training of all nonphysician persons who perform medical aesthetic services at a medical spa.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661.1(48)</w:t>
      </w:r>
      <w:r>
        <w:rPr>
          <w:rFonts w:ascii="Times New Roman" w:hAnsi="Times New Roman"/>
          <w:b w:val="false"/>
          <w:i w:val="false"/>
          <w:color w:val="000000"/>
          <w:sz w:val="22"/>
        </w:rPr>
        <w:t> </w:t>
      </w:r>
      <w:r>
        <w:rPr>
          <w:rFonts w:ascii="Times New Roman" w:hAnsi="Times New Roman"/>
          <w:b w:val="false"/>
          <w:i w:val="false"/>
          <w:color w:val="000000"/>
          <w:sz w:val="22"/>
        </w:rPr>
        <w:t xml:space="preserve">Failure to file with the board a written report and a copy of the hospital disciplinary action within 30 days of any hospital disciplinary action or the licensee’s voluntary action to avoid a hospital investigation or hospital disciplinary action as required by rule </w:t>
      </w:r>
      <w:hyperlink r:id="rId60">
        <w:r>
          <w:rPr>
            <w:rStyle w:val="Hyperlink"/>
            <w:rFonts w:ascii="Times New Roman" w:hAnsi="Times New Roman"/>
            <w:b w:val="false"/>
            <w:i w:val="false"/>
            <w:color w:val="000000"/>
            <w:sz w:val="22"/>
          </w:rPr>
          <w:t>481—660.5</w:t>
        </w:r>
      </w:hyperlink>
      <w:r>
        <w:rPr>
          <w:rFonts w:ascii="Times New Roman" w:hAnsi="Times New Roman"/>
          <w:b w:val="false"/>
          <w:i w:val="false"/>
          <w:color w:val="000000"/>
          <w:sz w:val="22"/>
        </w:rPr>
        <w:t>(272C).</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661.1(49)</w:t>
      </w:r>
      <w:r>
        <w:rPr>
          <w:rFonts w:ascii="Times New Roman" w:hAnsi="Times New Roman"/>
          <w:b w:val="false"/>
          <w:i w:val="false"/>
          <w:color w:val="000000"/>
          <w:sz w:val="22"/>
        </w:rPr>
        <w:t> </w:t>
      </w:r>
      <w:r>
        <w:rPr>
          <w:rFonts w:ascii="Times New Roman" w:hAnsi="Times New Roman"/>
          <w:b w:val="false"/>
          <w:i w:val="false"/>
          <w:color w:val="000000"/>
          <w:sz w:val="22"/>
        </w:rPr>
        <w:t>Unethical conduct of acupuncturist. The Code of Ethics (2016) prepared and approved by the National Certification Commission for Acupuncture and Oriental Medicine (NCCAOM) is utilized by the board as guiding principles in the practice of acupuncture in this state. Unethical conduct in the practice of acupuncture includes but is not limited 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Failing to provide patients with the information required in Iowa Code section </w:t>
      </w:r>
      <w:hyperlink r:id="rId61">
        <w:r>
          <w:rPr>
            <w:rStyle w:val="Hyperlink"/>
            <w:rFonts w:ascii="Times New Roman" w:hAnsi="Times New Roman"/>
            <w:b w:val="false"/>
            <w:i w:val="false"/>
            <w:color w:val="000000"/>
            <w:sz w:val="22"/>
          </w:rPr>
          <w:t>148E.6</w:t>
        </w:r>
      </w:hyperlink>
      <w:r>
        <w:rPr>
          <w:rFonts w:ascii="Times New Roman" w:hAnsi="Times New Roman"/>
          <w:b w:val="false"/>
          <w:i w:val="false"/>
          <w:color w:val="000000"/>
          <w:sz w:val="22"/>
        </w:rPr>
        <w:t xml:space="preserve"> or providing false information to patients;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Disclosing confidential information about a patient without proper authorization;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Abrogating the boundaries of acceptable conduct in the practice of acupuncture established by the profession that the board deems appropriate for ensuring that acupuncturists provide Iowans with safe and healthful care.</w:t>
      </w:r>
    </w:p>
    <w:p>
      <w:pPr>
        <w:spacing w:before="0" w:after="0"/>
        <w:ind w:left="120"/>
        <w:jc w:val="both"/>
      </w:pPr>
      <w:r>
        <w:rPr>
          <w:rFonts w:ascii="Times New Roman" w:hAnsi="Times New Roman"/>
          <w:b w:val="false"/>
          <w:i w:val="false"/>
          <w:color w:val="000000"/>
          <w:sz w:val="22"/>
        </w:rPr>
        <w:t xml:space="preserve">This rule is intended to implement Iowa Code chapters </w:t>
      </w:r>
      <w:hyperlink r:id="rId62">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xml:space="preserve">, </w:t>
      </w:r>
      <w:hyperlink r:id="rId63">
        <w:r>
          <w:rPr>
            <w:rStyle w:val="Hyperlink"/>
            <w:rFonts w:ascii="Times New Roman" w:hAnsi="Times New Roman"/>
            <w:b w:val="false"/>
            <w:i w:val="false"/>
            <w:color w:val="000000"/>
            <w:sz w:val="22"/>
          </w:rPr>
          <w:t>147</w:t>
        </w:r>
      </w:hyperlink>
      <w:r>
        <w:rPr>
          <w:rFonts w:ascii="Times New Roman" w:hAnsi="Times New Roman"/>
          <w:b w:val="false"/>
          <w:i w:val="false"/>
          <w:color w:val="000000"/>
          <w:sz w:val="22"/>
        </w:rPr>
        <w:t xml:space="preserve">, </w:t>
      </w:r>
      <w:hyperlink r:id="rId64">
        <w:r>
          <w:rPr>
            <w:rStyle w:val="Hyperlink"/>
            <w:rFonts w:ascii="Times New Roman" w:hAnsi="Times New Roman"/>
            <w:b w:val="false"/>
            <w:i w:val="false"/>
            <w:color w:val="000000"/>
            <w:sz w:val="22"/>
          </w:rPr>
          <w:t>148</w:t>
        </w:r>
      </w:hyperlink>
      <w:r>
        <w:rPr>
          <w:rFonts w:ascii="Times New Roman" w:hAnsi="Times New Roman"/>
          <w:b w:val="false"/>
          <w:i w:val="false"/>
          <w:color w:val="000000"/>
          <w:sz w:val="22"/>
        </w:rPr>
        <w:t xml:space="preserve">, </w:t>
      </w:r>
      <w:hyperlink r:id="rId65">
        <w:r>
          <w:rPr>
            <w:rStyle w:val="Hyperlink"/>
            <w:rFonts w:ascii="Times New Roman" w:hAnsi="Times New Roman"/>
            <w:b w:val="false"/>
            <w:i w:val="false"/>
            <w:color w:val="000000"/>
            <w:sz w:val="22"/>
          </w:rPr>
          <w:t>148E</w:t>
        </w:r>
      </w:hyperlink>
      <w:r>
        <w:rPr>
          <w:rFonts w:ascii="Times New Roman" w:hAnsi="Times New Roman"/>
          <w:b w:val="false"/>
          <w:i w:val="false"/>
          <w:color w:val="000000"/>
          <w:sz w:val="22"/>
        </w:rPr>
        <w:t xml:space="preserve">, </w:t>
      </w:r>
      <w:hyperlink r:id="rId66">
        <w:r>
          <w:rPr>
            <w:rStyle w:val="Hyperlink"/>
            <w:rFonts w:ascii="Times New Roman" w:hAnsi="Times New Roman"/>
            <w:b w:val="false"/>
            <w:i w:val="false"/>
            <w:color w:val="000000"/>
            <w:sz w:val="22"/>
          </w:rPr>
          <w:t>148H</w:t>
        </w:r>
      </w:hyperlink>
      <w:r>
        <w:rPr>
          <w:rFonts w:ascii="Times New Roman" w:hAnsi="Times New Roman"/>
          <w:b w:val="false"/>
          <w:i w:val="false"/>
          <w:color w:val="000000"/>
          <w:sz w:val="22"/>
        </w:rPr>
        <w:t xml:space="preserve">, </w:t>
      </w:r>
      <w:hyperlink r:id="rId67">
        <w:r>
          <w:rPr>
            <w:rStyle w:val="Hyperlink"/>
            <w:rFonts w:ascii="Times New Roman" w:hAnsi="Times New Roman"/>
            <w:b w:val="false"/>
            <w:i w:val="false"/>
            <w:color w:val="000000"/>
            <w:sz w:val="22"/>
          </w:rPr>
          <w:t>272C</w:t>
        </w:r>
      </w:hyperlink>
      <w:r>
        <w:rPr>
          <w:rFonts w:ascii="Times New Roman" w:hAnsi="Times New Roman"/>
          <w:b w:val="false"/>
          <w:i w:val="false"/>
          <w:color w:val="000000"/>
          <w:sz w:val="22"/>
        </w:rPr>
        <w:t xml:space="preserve"> and </w:t>
      </w:r>
      <w:hyperlink r:id="rId68">
        <w:r>
          <w:rPr>
            <w:rStyle w:val="Hyperlink"/>
            <w:rFonts w:ascii="Times New Roman" w:hAnsi="Times New Roman"/>
            <w:b w:val="false"/>
            <w:i w:val="false"/>
            <w:color w:val="000000"/>
            <w:sz w:val="22"/>
          </w:rPr>
          <w:t>272D</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9120C</w:t>
      </w:r>
      <w:r>
        <w:rPr>
          <w:rFonts w:ascii="Times New Roman" w:hAnsi="Times New Roman"/>
          <w:b w:val="false"/>
          <w:i w:val="false"/>
          <w:color w:val="000000"/>
          <w:sz w:val="16"/>
        </w:rPr>
        <w:t>, IAB 4/16/25, effective 5/21/25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6/11/25</w:t>
      </w:r>
      <w:r>
        <w:rPr>
          <w:rFonts w:ascii="Times New Roman" w:hAnsi="Times New Roman"/>
          <w:b w:val="false"/>
          <w:i w:val="false"/>
          <w:color w:val="000000"/>
          <w:sz w:val="16"/>
        </w:rPr>
        <w:t>]</w:t>
      </w:r>
    </w:p>
    <w:p>
      <w:pPr>
        <w:spacing w:before="0" w:after="0"/>
        <w:ind w:left="120"/>
        <w:jc w:val="center"/>
      </w:pPr>
      <w:r>
        <w:rPr>
          <w:rFonts w:ascii="Times New Roman" w:hAnsi="Times New Roman"/>
          <w:b w:val="false"/>
          <w:i w:val="false"/>
          <w:color w:val="000000"/>
          <w:sz w:val="21"/>
        </w:rPr>
        <w:t>[Filed 2/5/79, Notice 11/29/78—published 2/21/79, effective 3/29/79]</w:t>
      </w:r>
    </w:p>
    <w:p>
      <w:pPr>
        <w:spacing w:before="0" w:after="0"/>
        <w:ind w:left="120"/>
        <w:jc w:val="center"/>
      </w:pPr>
      <w:r>
        <w:rPr>
          <w:rFonts w:ascii="Times New Roman" w:hAnsi="Times New Roman"/>
          <w:b w:val="false"/>
          <w:i w:val="false"/>
          <w:color w:val="000000"/>
          <w:sz w:val="21"/>
        </w:rPr>
        <w:t>[Filed without Notice 2/14/80—published 3/5/80, effective 4/9/80]</w:t>
      </w:r>
    </w:p>
    <w:p>
      <w:pPr>
        <w:spacing w:before="0" w:after="0"/>
        <w:ind w:left="120"/>
        <w:jc w:val="center"/>
      </w:pPr>
      <w:r>
        <w:rPr>
          <w:rFonts w:ascii="Times New Roman" w:hAnsi="Times New Roman"/>
          <w:b w:val="false"/>
          <w:i w:val="false"/>
          <w:color w:val="000000"/>
          <w:sz w:val="21"/>
        </w:rPr>
        <w:t>[Filed 10/10/80, Notice 8/20/80—published 10/29/80, effective 12/3/80]</w:t>
      </w:r>
    </w:p>
    <w:p>
      <w:pPr>
        <w:spacing w:before="0" w:after="0"/>
        <w:ind w:left="120"/>
        <w:jc w:val="center"/>
      </w:pPr>
      <w:r>
        <w:rPr>
          <w:rFonts w:ascii="Times New Roman" w:hAnsi="Times New Roman"/>
          <w:b w:val="false"/>
          <w:i w:val="false"/>
          <w:color w:val="000000"/>
          <w:sz w:val="21"/>
        </w:rPr>
        <w:t>[Filed 6/14/82, Notice 4/28/82—published 7/7/82, effective 8/11/82]</w:t>
      </w:r>
    </w:p>
    <w:p>
      <w:pPr>
        <w:spacing w:before="0" w:after="0"/>
        <w:ind w:left="120"/>
        <w:jc w:val="center"/>
      </w:pPr>
      <w:r>
        <w:rPr>
          <w:rFonts w:ascii="Times New Roman" w:hAnsi="Times New Roman"/>
          <w:b w:val="false"/>
          <w:i w:val="false"/>
          <w:color w:val="000000"/>
          <w:sz w:val="21"/>
        </w:rPr>
        <w:t>[Filed 9/9/83, Notice 8/3/83—published 9/28/83, effective 11/2/83</w:t>
      </w:r>
      <w:r>
        <w:rPr>
          <w:rFonts w:ascii="Times New Roman" w:hAnsi="Times New Roman"/>
          <w:b w:val="false"/>
          <w:i w:val="false"/>
          <w:color w:val="000000"/>
          <w:sz w:val="10"/>
        </w:rPr>
        <w:t>1</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[Filed 3/9/84, Notice 1/18/84—published 3/28/84, effective 5/2/84]</w:t>
      </w:r>
    </w:p>
    <w:p>
      <w:pPr>
        <w:spacing w:before="0" w:after="0"/>
        <w:ind w:left="120"/>
        <w:jc w:val="center"/>
      </w:pPr>
      <w:r>
        <w:rPr>
          <w:rFonts w:ascii="Times New Roman" w:hAnsi="Times New Roman"/>
          <w:b w:val="false"/>
          <w:i w:val="false"/>
          <w:color w:val="000000"/>
          <w:sz w:val="21"/>
        </w:rPr>
        <w:t>[Filed 10/19/84, Notice 8/29/84—published 11/7/84, effective 12/12/84</w:t>
      </w:r>
      <w:r>
        <w:rPr>
          <w:rFonts w:ascii="Times New Roman" w:hAnsi="Times New Roman"/>
          <w:b w:val="false"/>
          <w:i w:val="false"/>
          <w:color w:val="000000"/>
          <w:sz w:val="10"/>
        </w:rPr>
        <w:t>2</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[Filed emergency 4/15/88—published 5/4/88, effective 4/15/88]</w:t>
      </w:r>
    </w:p>
    <w:p>
      <w:pPr>
        <w:spacing w:before="0" w:after="0"/>
        <w:ind w:left="120"/>
        <w:jc w:val="center"/>
      </w:pPr>
      <w:r>
        <w:rPr>
          <w:rFonts w:ascii="Times New Roman" w:hAnsi="Times New Roman"/>
          <w:b w:val="false"/>
          <w:i w:val="false"/>
          <w:color w:val="000000"/>
          <w:sz w:val="21"/>
        </w:rPr>
        <w:t>[Filed 10/28/88, Notice 6/15/88—published 11/16/88, effective 12/21/88]</w:t>
      </w:r>
    </w:p>
    <w:p>
      <w:pPr>
        <w:spacing w:before="0" w:after="0"/>
        <w:ind w:left="120"/>
        <w:jc w:val="center"/>
      </w:pPr>
      <w:r>
        <w:rPr>
          <w:rFonts w:ascii="Times New Roman" w:hAnsi="Times New Roman"/>
          <w:b w:val="false"/>
          <w:i w:val="false"/>
          <w:color w:val="000000"/>
          <w:sz w:val="21"/>
        </w:rPr>
        <w:t>[Filed 7/21/89, Notice 5/17/89—published 8/9/89, effective 9/13/89]</w:t>
      </w:r>
    </w:p>
    <w:p>
      <w:pPr>
        <w:spacing w:before="0" w:after="0"/>
        <w:ind w:left="120"/>
        <w:jc w:val="center"/>
      </w:pPr>
      <w:r>
        <w:rPr>
          <w:rFonts w:ascii="Times New Roman" w:hAnsi="Times New Roman"/>
          <w:b w:val="false"/>
          <w:i w:val="false"/>
          <w:color w:val="000000"/>
          <w:sz w:val="21"/>
        </w:rPr>
        <w:t>[Filed 8/2/90, Notice 5/30/90—published 8/22/90, effective 9/26/90]</w:t>
      </w:r>
    </w:p>
    <w:p>
      <w:pPr>
        <w:spacing w:before="0" w:after="0"/>
        <w:ind w:left="120"/>
        <w:jc w:val="center"/>
      </w:pPr>
      <w:r>
        <w:rPr>
          <w:rFonts w:ascii="Times New Roman" w:hAnsi="Times New Roman"/>
          <w:b w:val="false"/>
          <w:i w:val="false"/>
          <w:color w:val="000000"/>
          <w:sz w:val="21"/>
        </w:rPr>
        <w:t>[Filed 4/1/94, Notice 2/2/94—published 4/27/94, effective 6/1/94]</w:t>
      </w:r>
    </w:p>
    <w:p>
      <w:pPr>
        <w:spacing w:before="0" w:after="0"/>
        <w:ind w:left="120"/>
        <w:jc w:val="center"/>
      </w:pPr>
      <w:r>
        <w:rPr>
          <w:rFonts w:ascii="Times New Roman" w:hAnsi="Times New Roman"/>
          <w:b w:val="false"/>
          <w:i w:val="false"/>
          <w:color w:val="000000"/>
          <w:sz w:val="21"/>
        </w:rPr>
        <w:t>[Filed 11/3/94, Notice 9/28/94—published 11/23/94, effective 12/28/94]</w:t>
      </w:r>
    </w:p>
    <w:p>
      <w:pPr>
        <w:spacing w:before="0" w:after="0"/>
        <w:ind w:left="120"/>
        <w:jc w:val="center"/>
      </w:pPr>
      <w:r>
        <w:rPr>
          <w:rFonts w:ascii="Times New Roman" w:hAnsi="Times New Roman"/>
          <w:b w:val="false"/>
          <w:i w:val="false"/>
          <w:color w:val="000000"/>
          <w:sz w:val="21"/>
        </w:rPr>
        <w:t>[Filed 12/14/95, Notice 8/30/95—published 1/3/96, effective 2/7/96]</w:t>
      </w:r>
    </w:p>
    <w:p>
      <w:pPr>
        <w:spacing w:before="0" w:after="0"/>
        <w:ind w:left="120"/>
        <w:jc w:val="center"/>
      </w:pPr>
      <w:r>
        <w:rPr>
          <w:rFonts w:ascii="Times New Roman" w:hAnsi="Times New Roman"/>
          <w:b w:val="false"/>
          <w:i w:val="false"/>
          <w:color w:val="000000"/>
          <w:sz w:val="21"/>
        </w:rPr>
        <w:t>[Filed 2/23/96, Notice 9/27/95—published 3/13/96, effective 4/17/96]</w:t>
      </w:r>
    </w:p>
    <w:p>
      <w:pPr>
        <w:spacing w:before="0" w:after="0"/>
        <w:ind w:left="120"/>
        <w:jc w:val="center"/>
      </w:pPr>
      <w:r>
        <w:rPr>
          <w:rFonts w:ascii="Times New Roman" w:hAnsi="Times New Roman"/>
          <w:b w:val="false"/>
          <w:i w:val="false"/>
          <w:color w:val="000000"/>
          <w:sz w:val="21"/>
        </w:rPr>
        <w:t>[Filed 2/23/96, Notice 1/3/96—published 3/13/96, effective 4/17/96]</w:t>
      </w:r>
    </w:p>
    <w:p>
      <w:pPr>
        <w:spacing w:before="0" w:after="0"/>
        <w:ind w:left="120"/>
        <w:jc w:val="center"/>
      </w:pPr>
      <w:r>
        <w:rPr>
          <w:rFonts w:ascii="Times New Roman" w:hAnsi="Times New Roman"/>
          <w:b w:val="false"/>
          <w:i w:val="false"/>
          <w:color w:val="000000"/>
          <w:sz w:val="21"/>
        </w:rPr>
        <w:t>[Filed 5/2/97, Notice 3/12/97—published 5/21/97, effective 6/25/97]</w:t>
      </w:r>
    </w:p>
    <w:p>
      <w:pPr>
        <w:spacing w:before="0" w:after="0"/>
        <w:ind w:left="120"/>
        <w:jc w:val="center"/>
      </w:pPr>
      <w:r>
        <w:rPr>
          <w:rFonts w:ascii="Times New Roman" w:hAnsi="Times New Roman"/>
          <w:b w:val="false"/>
          <w:i w:val="false"/>
          <w:color w:val="000000"/>
          <w:sz w:val="21"/>
        </w:rPr>
        <w:t>[Filed 5/2/97, Notice 3/26/97—published 5/21/97, effective 6/25/97]</w:t>
      </w:r>
    </w:p>
    <w:p>
      <w:pPr>
        <w:spacing w:before="0" w:after="0"/>
        <w:ind w:left="120"/>
        <w:jc w:val="center"/>
      </w:pPr>
      <w:r>
        <w:rPr>
          <w:rFonts w:ascii="Times New Roman" w:hAnsi="Times New Roman"/>
          <w:b w:val="false"/>
          <w:i w:val="false"/>
          <w:color w:val="000000"/>
          <w:sz w:val="21"/>
        </w:rPr>
        <w:t>[Filed 2/2/98, Notice 11/5/97—published 2/25/98, effective 4/1/98]</w:t>
      </w:r>
    </w:p>
    <w:p>
      <w:pPr>
        <w:spacing w:before="0" w:after="0"/>
        <w:ind w:left="120"/>
        <w:jc w:val="center"/>
      </w:pPr>
      <w:r>
        <w:rPr>
          <w:rFonts w:ascii="Times New Roman" w:hAnsi="Times New Roman"/>
          <w:b w:val="false"/>
          <w:i w:val="false"/>
          <w:color w:val="000000"/>
          <w:sz w:val="21"/>
        </w:rPr>
        <w:t>[Filed 6/12/98, Notice 4/22/98—published 7/1/98, effective 8/5/98]</w:t>
      </w:r>
    </w:p>
    <w:p>
      <w:pPr>
        <w:spacing w:before="0" w:after="0"/>
        <w:ind w:left="120"/>
        <w:jc w:val="center"/>
      </w:pPr>
      <w:r>
        <w:rPr>
          <w:rFonts w:ascii="Times New Roman" w:hAnsi="Times New Roman"/>
          <w:b w:val="false"/>
          <w:i w:val="false"/>
          <w:color w:val="000000"/>
          <w:sz w:val="21"/>
        </w:rPr>
        <w:t>[Filed 2/5/99, Notice 12/2/98—published 2/24/99, effective 3/31/99]</w:t>
      </w:r>
    </w:p>
    <w:p>
      <w:pPr>
        <w:spacing w:before="0" w:after="0"/>
        <w:ind w:left="120"/>
        <w:jc w:val="center"/>
      </w:pPr>
      <w:r>
        <w:rPr>
          <w:rFonts w:ascii="Times New Roman" w:hAnsi="Times New Roman"/>
          <w:b w:val="false"/>
          <w:i w:val="false"/>
          <w:color w:val="000000"/>
          <w:sz w:val="21"/>
        </w:rPr>
        <w:t>[Filed 4/30/99, Notice 3/24/99—published 5/19/99, effective 7/1/99]</w:t>
      </w:r>
    </w:p>
    <w:p>
      <w:pPr>
        <w:spacing w:before="0" w:after="0"/>
        <w:ind w:left="120"/>
        <w:jc w:val="center"/>
      </w:pPr>
      <w:r>
        <w:rPr>
          <w:rFonts w:ascii="Times New Roman" w:hAnsi="Times New Roman"/>
          <w:b w:val="false"/>
          <w:i w:val="false"/>
          <w:color w:val="000000"/>
          <w:sz w:val="21"/>
        </w:rPr>
        <w:t>[Filed 11/10/99, Notice 9/22/99—published 12/1/99, effective 1/5/00]</w:t>
      </w:r>
    </w:p>
    <w:p>
      <w:pPr>
        <w:spacing w:before="0" w:after="0"/>
        <w:ind w:left="120"/>
        <w:jc w:val="center"/>
      </w:pPr>
      <w:r>
        <w:rPr>
          <w:rFonts w:ascii="Times New Roman" w:hAnsi="Times New Roman"/>
          <w:b w:val="false"/>
          <w:i w:val="false"/>
          <w:color w:val="000000"/>
          <w:sz w:val="21"/>
        </w:rPr>
        <w:t>[Filed 12/1/00, Notice 10/18/00—published 12/27/00, effective 1/31/01]</w:t>
      </w:r>
    </w:p>
    <w:p>
      <w:pPr>
        <w:spacing w:before="0" w:after="0"/>
        <w:ind w:left="120"/>
        <w:jc w:val="center"/>
      </w:pPr>
      <w:r>
        <w:rPr>
          <w:rFonts w:ascii="Times New Roman" w:hAnsi="Times New Roman"/>
          <w:b w:val="false"/>
          <w:i w:val="false"/>
          <w:color w:val="000000"/>
          <w:sz w:val="21"/>
        </w:rPr>
        <w:t>[Filed 5/11/01, Notice 4/4/01—published 5/30/01, effective 7/4/01]</w:t>
      </w:r>
    </w:p>
    <w:p>
      <w:pPr>
        <w:spacing w:before="0" w:after="0"/>
        <w:ind w:left="120"/>
        <w:jc w:val="center"/>
      </w:pPr>
      <w:r>
        <w:rPr>
          <w:rFonts w:ascii="Times New Roman" w:hAnsi="Times New Roman"/>
          <w:b w:val="false"/>
          <w:i w:val="false"/>
          <w:color w:val="000000"/>
          <w:sz w:val="21"/>
        </w:rPr>
        <w:t>[Filed 2/14/02, Notice 1/9/02—published 3/6/02, effective 4/10/02]</w:t>
      </w:r>
    </w:p>
    <w:p>
      <w:pPr>
        <w:spacing w:before="0" w:after="0"/>
        <w:ind w:left="120"/>
        <w:jc w:val="center"/>
      </w:pPr>
      <w:r>
        <w:rPr>
          <w:rFonts w:ascii="Times New Roman" w:hAnsi="Times New Roman"/>
          <w:b w:val="false"/>
          <w:i w:val="false"/>
          <w:color w:val="000000"/>
          <w:sz w:val="21"/>
        </w:rPr>
        <w:t>[Filed 6/6/02, Notice 3/6/02—published 6/26/02, effective 7/31/02]</w:t>
      </w:r>
    </w:p>
    <w:p>
      <w:pPr>
        <w:spacing w:before="0" w:after="0"/>
        <w:ind w:left="120"/>
        <w:jc w:val="center"/>
      </w:pPr>
      <w:r>
        <w:rPr>
          <w:rFonts w:ascii="Times New Roman" w:hAnsi="Times New Roman"/>
          <w:b w:val="false"/>
          <w:i w:val="false"/>
          <w:color w:val="000000"/>
          <w:sz w:val="21"/>
        </w:rPr>
        <w:t>[Filed 5/20/04, Notice 4/14/04—published 6/9/04, effective 7/14/04]</w:t>
      </w:r>
    </w:p>
    <w:p>
      <w:pPr>
        <w:spacing w:before="0" w:after="0"/>
        <w:ind w:left="120"/>
        <w:jc w:val="center"/>
      </w:pPr>
      <w:r>
        <w:rPr>
          <w:rFonts w:ascii="Times New Roman" w:hAnsi="Times New Roman"/>
          <w:b w:val="false"/>
          <w:i w:val="false"/>
          <w:color w:val="000000"/>
          <w:sz w:val="21"/>
        </w:rPr>
        <w:t>[Filed 7/16/04, Notice 6/9/04—published 8/4/04, effective 9/8/04]</w:t>
      </w:r>
    </w:p>
    <w:p>
      <w:pPr>
        <w:spacing w:before="0" w:after="0"/>
        <w:ind w:left="120"/>
        <w:jc w:val="center"/>
      </w:pPr>
      <w:r>
        <w:rPr>
          <w:rFonts w:ascii="Times New Roman" w:hAnsi="Times New Roman"/>
          <w:b w:val="false"/>
          <w:i w:val="false"/>
          <w:color w:val="000000"/>
          <w:sz w:val="21"/>
        </w:rPr>
        <w:t>[Filed 7/29/05, Notice 6/22/05—published 8/17/05, effective 9/21/05]</w:t>
      </w:r>
    </w:p>
    <w:p>
      <w:pPr>
        <w:spacing w:before="0" w:after="0"/>
        <w:ind w:left="120"/>
        <w:jc w:val="center"/>
      </w:pPr>
      <w:r>
        <w:rPr>
          <w:rFonts w:ascii="Times New Roman" w:hAnsi="Times New Roman"/>
          <w:b w:val="false"/>
          <w:i w:val="false"/>
          <w:color w:val="000000"/>
          <w:sz w:val="21"/>
        </w:rPr>
        <w:t>[Filed 6/27/06, Notice 2/15/06—published 7/19/06, effective 8/23/06]</w:t>
      </w:r>
    </w:p>
    <w:p>
      <w:pPr>
        <w:spacing w:before="0" w:after="0"/>
        <w:ind w:left="120"/>
        <w:jc w:val="center"/>
      </w:pPr>
      <w:r>
        <w:rPr>
          <w:rFonts w:ascii="Times New Roman" w:hAnsi="Times New Roman"/>
          <w:b w:val="false"/>
          <w:i w:val="false"/>
          <w:color w:val="000000"/>
          <w:sz w:val="21"/>
        </w:rPr>
        <w:t>[Filed 12/14/06, Notice 11/8/06—published 1/17/07, effective 2/21/07]</w:t>
      </w:r>
    </w:p>
    <w:p>
      <w:pPr>
        <w:spacing w:before="0" w:after="0"/>
        <w:ind w:left="120"/>
        <w:jc w:val="center"/>
      </w:pPr>
      <w:r>
        <w:rPr>
          <w:rFonts w:ascii="Times New Roman" w:hAnsi="Times New Roman"/>
          <w:b w:val="false"/>
          <w:i w:val="false"/>
          <w:color w:val="000000"/>
          <w:sz w:val="21"/>
        </w:rPr>
        <w:t>[Filed 2/8/07, Notice 1/3/07—published 2/28/07, effective 4/4/07]</w:t>
      </w:r>
    </w:p>
    <w:p>
      <w:pPr>
        <w:spacing w:before="0" w:after="0"/>
        <w:ind w:left="120"/>
        <w:jc w:val="center"/>
      </w:pPr>
      <w:r>
        <w:rPr>
          <w:rFonts w:ascii="Times New Roman" w:hAnsi="Times New Roman"/>
          <w:b w:val="false"/>
          <w:i w:val="false"/>
          <w:color w:val="000000"/>
          <w:sz w:val="21"/>
        </w:rPr>
        <w:t xml:space="preserve">[Filed </w:t>
      </w:r>
      <w:r>
        <w:rPr>
          <w:rFonts w:ascii="Times New Roman" w:hAnsi="Times New Roman"/>
          <w:b w:val="false"/>
          <w:i w:val="false"/>
          <w:color w:val="000000"/>
          <w:sz w:val="21"/>
        </w:rPr>
        <w:t>7/24/08</w:t>
      </w:r>
      <w:r>
        <w:rPr>
          <w:rFonts w:ascii="Times New Roman" w:hAnsi="Times New Roman"/>
          <w:b w:val="false"/>
          <w:i w:val="false"/>
          <w:color w:val="000000"/>
          <w:sz w:val="21"/>
        </w:rPr>
        <w:t xml:space="preserve">, Notice </w:t>
      </w:r>
      <w:r>
        <w:rPr>
          <w:rFonts w:ascii="Times New Roman" w:hAnsi="Times New Roman"/>
          <w:b w:val="false"/>
          <w:i w:val="false"/>
          <w:color w:val="000000"/>
          <w:sz w:val="21"/>
        </w:rPr>
        <w:t>6/18/08</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8/13/08</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9/17/08</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 xml:space="preserve">[Filed </w:t>
      </w:r>
      <w:r>
        <w:rPr>
          <w:rFonts w:ascii="Times New Roman" w:hAnsi="Times New Roman"/>
          <w:b w:val="false"/>
          <w:i w:val="false"/>
          <w:color w:val="000000"/>
          <w:sz w:val="21"/>
        </w:rPr>
        <w:t>9/18/08</w:t>
      </w:r>
      <w:r>
        <w:rPr>
          <w:rFonts w:ascii="Times New Roman" w:hAnsi="Times New Roman"/>
          <w:b w:val="false"/>
          <w:i w:val="false"/>
          <w:color w:val="000000"/>
          <w:sz w:val="21"/>
        </w:rPr>
        <w:t xml:space="preserve">, Notice </w:t>
      </w:r>
      <w:r>
        <w:rPr>
          <w:rFonts w:ascii="Times New Roman" w:hAnsi="Times New Roman"/>
          <w:b w:val="false"/>
          <w:i w:val="false"/>
          <w:color w:val="000000"/>
          <w:sz w:val="21"/>
        </w:rPr>
        <w:t>8/13/08</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10/8/08</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11/12/08</w:t>
      </w:r>
      <w:r>
        <w:rPr>
          <w:rFonts w:ascii="Times New Roman" w:hAnsi="Times New Roman"/>
          <w:b w:val="false"/>
          <w:i w:val="false"/>
          <w:color w:val="000000"/>
          <w:sz w:val="21"/>
        </w:rPr>
        <w:t>]</w:t>
      </w:r>
      <w:r>
        <w:rPr>
          <w:rFonts w:ascii="Times New Roman" w:hAnsi="Times New Roman"/>
          <w:b w:val="false"/>
          <w:i w:val="false"/>
          <w:color w:val="000000"/>
          <w:sz w:val="14"/>
        </w:rPr>
        <w:t>◊</w:t>
      </w:r>
    </w:p>
    <w:p>
      <w:pPr>
        <w:spacing w:before="0" w:after="0"/>
        <w:ind w:left="120"/>
        <w:jc w:val="center"/>
      </w:pPr>
      <w:r>
        <w:rPr>
          <w:rFonts w:ascii="Times New Roman" w:hAnsi="Times New Roman"/>
          <w:b w:val="false"/>
          <w:i w:val="false"/>
          <w:color w:val="000000"/>
          <w:sz w:val="21"/>
        </w:rPr>
        <w:t>[Filed ARC 8525B</w:t>
      </w:r>
      <w:r>
        <w:rPr>
          <w:rFonts w:ascii="Times New Roman" w:hAnsi="Times New Roman"/>
          <w:b w:val="false"/>
          <w:i w:val="false"/>
          <w:color w:val="000000"/>
          <w:sz w:val="21"/>
        </w:rPr>
        <w:t xml:space="preserve"> (Notice ARC 8198B, IAB 10/7/09)</w:t>
      </w:r>
      <w:r>
        <w:rPr>
          <w:rFonts w:ascii="Times New Roman" w:hAnsi="Times New Roman"/>
          <w:b w:val="false"/>
          <w:i w:val="false"/>
          <w:color w:val="000000"/>
          <w:sz w:val="21"/>
        </w:rPr>
        <w:t>, IAB 2/10/10, effective 3/17/10]</w:t>
      </w:r>
    </w:p>
    <w:p>
      <w:pPr>
        <w:spacing w:before="0" w:after="0"/>
        <w:ind w:left="120"/>
        <w:jc w:val="center"/>
      </w:pPr>
      <w:r>
        <w:rPr>
          <w:rFonts w:ascii="Times New Roman" w:hAnsi="Times New Roman"/>
          <w:b w:val="false"/>
          <w:i w:val="false"/>
          <w:color w:val="000000"/>
          <w:sz w:val="21"/>
        </w:rPr>
        <w:t>[Filed ARC 9088B</w:t>
      </w:r>
      <w:r>
        <w:rPr>
          <w:rFonts w:ascii="Times New Roman" w:hAnsi="Times New Roman"/>
          <w:b w:val="false"/>
          <w:i w:val="false"/>
          <w:color w:val="000000"/>
          <w:sz w:val="21"/>
        </w:rPr>
        <w:t xml:space="preserve"> (Notice ARC 8925B, IAB 6/30/10)</w:t>
      </w:r>
      <w:r>
        <w:rPr>
          <w:rFonts w:ascii="Times New Roman" w:hAnsi="Times New Roman"/>
          <w:b w:val="false"/>
          <w:i w:val="false"/>
          <w:color w:val="000000"/>
          <w:sz w:val="21"/>
        </w:rPr>
        <w:t>, IAB 9/22/10, effective 10/27/10]</w:t>
      </w:r>
    </w:p>
    <w:p>
      <w:pPr>
        <w:spacing w:before="0" w:after="0"/>
        <w:ind w:left="120"/>
        <w:jc w:val="center"/>
      </w:pPr>
      <w:r>
        <w:rPr>
          <w:rFonts w:ascii="Times New Roman" w:hAnsi="Times New Roman"/>
          <w:b w:val="false"/>
          <w:i w:val="false"/>
          <w:color w:val="000000"/>
          <w:sz w:val="21"/>
        </w:rPr>
        <w:t>[Filed ARC 9598B</w:t>
      </w:r>
      <w:r>
        <w:rPr>
          <w:rFonts w:ascii="Times New Roman" w:hAnsi="Times New Roman"/>
          <w:b w:val="false"/>
          <w:i w:val="false"/>
          <w:color w:val="000000"/>
          <w:sz w:val="21"/>
        </w:rPr>
        <w:t xml:space="preserve"> (Notice ARC 9415B, IAB 3/9/11)</w:t>
      </w:r>
      <w:r>
        <w:rPr>
          <w:rFonts w:ascii="Times New Roman" w:hAnsi="Times New Roman"/>
          <w:b w:val="false"/>
          <w:i w:val="false"/>
          <w:color w:val="000000"/>
          <w:sz w:val="21"/>
        </w:rPr>
        <w:t>, IAB 7/13/11, effective 8/17/11]</w:t>
      </w:r>
    </w:p>
    <w:p>
      <w:pPr>
        <w:spacing w:before="0" w:after="0"/>
        <w:ind w:left="120"/>
        <w:jc w:val="center"/>
      </w:pPr>
      <w:r>
        <w:rPr>
          <w:rFonts w:ascii="Times New Roman" w:hAnsi="Times New Roman"/>
          <w:b w:val="false"/>
          <w:i w:val="false"/>
          <w:color w:val="000000"/>
          <w:sz w:val="21"/>
        </w:rPr>
        <w:t>[Filed ARC 0533C</w:t>
      </w:r>
      <w:r>
        <w:rPr>
          <w:rFonts w:ascii="Times New Roman" w:hAnsi="Times New Roman"/>
          <w:b w:val="false"/>
          <w:i w:val="false"/>
          <w:color w:val="000000"/>
          <w:sz w:val="21"/>
        </w:rPr>
        <w:t xml:space="preserve"> (Notice ARC 0177C, IAB 6/27/12)</w:t>
      </w:r>
      <w:r>
        <w:rPr>
          <w:rFonts w:ascii="Times New Roman" w:hAnsi="Times New Roman"/>
          <w:b w:val="false"/>
          <w:i w:val="false"/>
          <w:color w:val="000000"/>
          <w:sz w:val="21"/>
        </w:rPr>
        <w:t>, IAB 12/26/12, effective 1/30/13]</w:t>
      </w:r>
    </w:p>
    <w:p>
      <w:pPr>
        <w:spacing w:before="0" w:after="0"/>
        <w:ind w:left="120"/>
        <w:jc w:val="center"/>
      </w:pPr>
      <w:r>
        <w:rPr>
          <w:rFonts w:ascii="Times New Roman" w:hAnsi="Times New Roman"/>
          <w:b w:val="false"/>
          <w:i w:val="false"/>
          <w:color w:val="000000"/>
          <w:sz w:val="21"/>
        </w:rPr>
        <w:t>[Filed ARC 4979C</w:t>
      </w:r>
      <w:r>
        <w:rPr>
          <w:rFonts w:ascii="Times New Roman" w:hAnsi="Times New Roman"/>
          <w:b w:val="false"/>
          <w:i w:val="false"/>
          <w:color w:val="000000"/>
          <w:sz w:val="21"/>
        </w:rPr>
        <w:t xml:space="preserve"> (Notice ARC 4806C, IAB 12/18/19)</w:t>
      </w:r>
      <w:r>
        <w:rPr>
          <w:rFonts w:ascii="Times New Roman" w:hAnsi="Times New Roman"/>
          <w:b w:val="false"/>
          <w:i w:val="false"/>
          <w:color w:val="000000"/>
          <w:sz w:val="21"/>
        </w:rPr>
        <w:t>, IAB 3/11/20, effective 4/15/20]</w:t>
      </w:r>
    </w:p>
    <w:p>
      <w:pPr>
        <w:spacing w:before="0" w:after="0"/>
        <w:ind w:left="120"/>
        <w:jc w:val="center"/>
      </w:pPr>
      <w:r>
        <w:rPr>
          <w:rFonts w:ascii="Times New Roman" w:hAnsi="Times New Roman"/>
          <w:b w:val="false"/>
          <w:i w:val="false"/>
          <w:color w:val="000000"/>
          <w:sz w:val="21"/>
        </w:rPr>
        <w:t>[Filed ARC 5600C</w:t>
      </w:r>
      <w:r>
        <w:rPr>
          <w:rFonts w:ascii="Times New Roman" w:hAnsi="Times New Roman"/>
          <w:b w:val="false"/>
          <w:i w:val="false"/>
          <w:color w:val="000000"/>
          <w:sz w:val="21"/>
        </w:rPr>
        <w:t xml:space="preserve"> (Notice ARC 5370C, IAB 12/30/20)</w:t>
      </w:r>
      <w:r>
        <w:rPr>
          <w:rFonts w:ascii="Times New Roman" w:hAnsi="Times New Roman"/>
          <w:b w:val="false"/>
          <w:i w:val="false"/>
          <w:color w:val="000000"/>
          <w:sz w:val="21"/>
        </w:rPr>
        <w:t>, IAB 5/5/21, effective 6/9/21]</w:t>
      </w:r>
    </w:p>
    <w:p>
      <w:pPr>
        <w:spacing w:before="0" w:after="0"/>
        <w:ind w:left="120"/>
        <w:jc w:val="center"/>
      </w:pPr>
      <w:r>
        <w:rPr>
          <w:rFonts w:ascii="Times New Roman" w:hAnsi="Times New Roman"/>
          <w:b w:val="false"/>
          <w:i w:val="false"/>
          <w:color w:val="000000"/>
          <w:sz w:val="21"/>
        </w:rPr>
        <w:t>[Filed ARC 5749C</w:t>
      </w:r>
      <w:r>
        <w:rPr>
          <w:rFonts w:ascii="Times New Roman" w:hAnsi="Times New Roman"/>
          <w:b w:val="false"/>
          <w:i w:val="false"/>
          <w:color w:val="000000"/>
          <w:sz w:val="21"/>
        </w:rPr>
        <w:t xml:space="preserve"> (Notice ARC 5473C, IAB 2/24/21)</w:t>
      </w:r>
      <w:r>
        <w:rPr>
          <w:rFonts w:ascii="Times New Roman" w:hAnsi="Times New Roman"/>
          <w:b w:val="false"/>
          <w:i w:val="false"/>
          <w:color w:val="000000"/>
          <w:sz w:val="21"/>
        </w:rPr>
        <w:t>, IAB 7/14/21, effective 8/18/21]</w:t>
      </w:r>
    </w:p>
    <w:p>
      <w:pPr>
        <w:spacing w:before="0" w:after="0"/>
        <w:ind w:left="120"/>
        <w:jc w:val="center"/>
      </w:pPr>
      <w:r>
        <w:rPr>
          <w:rFonts w:ascii="Times New Roman" w:hAnsi="Times New Roman"/>
          <w:b w:val="false"/>
          <w:i w:val="false"/>
          <w:color w:val="000000"/>
          <w:sz w:val="21"/>
        </w:rPr>
        <w:t>[Filed ARC 9120C</w:t>
      </w:r>
      <w:r>
        <w:rPr>
          <w:rFonts w:ascii="Times New Roman" w:hAnsi="Times New Roman"/>
          <w:b w:val="false"/>
          <w:i w:val="false"/>
          <w:color w:val="000000"/>
          <w:sz w:val="21"/>
        </w:rPr>
        <w:t xml:space="preserve"> (Notice ARC 8705C, IAB 12/25/24)</w:t>
      </w:r>
      <w:r>
        <w:rPr>
          <w:rFonts w:ascii="Times New Roman" w:hAnsi="Times New Roman"/>
          <w:b w:val="false"/>
          <w:i w:val="false"/>
          <w:color w:val="000000"/>
          <w:sz w:val="21"/>
        </w:rPr>
        <w:t>, IAB 4/16/25, effective 5/21/25]</w:t>
      </w:r>
    </w:p>
    <w:p>
      <w:pPr>
        <w:spacing w:before="0" w:after="0"/>
        <w:ind w:left="120"/>
        <w:jc w:val="center"/>
      </w:pPr>
      <w:r>
        <w:rPr>
          <w:rFonts w:ascii="Times New Roman" w:hAnsi="Times New Roman"/>
          <w:b w:val="false"/>
          <w:i w:val="false"/>
          <w:color w:val="000000"/>
          <w:sz w:val="21"/>
        </w:rPr>
        <w:t>[Editorial change: IAC Supplement 6/11/25]</w:t>
      </w:r>
    </w:p>
    <w:p>
      <w:pPr>
        <w:pBdr>
          <w:bottom w:space="2"/>
        </w:pBdr>
        <w:spacing w:before="0" w:after="0"/>
        <w:ind w:left="120"/>
        <w:jc w:val="both"/>
      </w:pPr>
      <w:r>
        <w:rPr>
          <w:rFonts w:ascii="Times New Roman" w:hAnsi="Times New Roman"/>
          <w:b w:val="false"/>
          <w:i w:val="false"/>
          <w:color w:val="000000"/>
          <w:sz w:val="22"/>
        </w:rPr>
        <w:t>Two or more ARCs</w:t>
      </w:r>
    </w:p>
    <w:p>
      <w:pPr>
        <w:pBdr>
          <w:bottom w:space="2"/>
        </w:pBdr>
        <w:spacing w:before="0" w:after="0"/>
        <w:ind w:left="120"/>
        <w:jc w:val="both"/>
      </w:pPr>
      <w:r>
        <w:rPr>
          <w:rFonts w:ascii="Times New Roman" w:hAnsi="Times New Roman"/>
          <w:b w:val="false"/>
          <w:i w:val="false"/>
          <w:color w:val="000000"/>
          <w:sz w:val="22"/>
        </w:rPr>
        <w:t>Effective date of subrule 135.204(10) [renumbered 12/4(10), IAC 5/4/88] delayed by the Administrative Rules Review Committee 70 days from November 2, 1983.</w:t>
      </w:r>
    </w:p>
    <w:p>
      <w:pPr>
        <w:pBdr>
          <w:bottom w:space="2"/>
        </w:pBdr>
        <w:spacing w:before="0" w:after="0"/>
        <w:ind w:left="120"/>
        <w:jc w:val="both"/>
      </w:pPr>
      <w:r>
        <w:rPr>
          <w:rFonts w:ascii="Times New Roman" w:hAnsi="Times New Roman"/>
          <w:b w:val="false"/>
          <w:i w:val="false"/>
          <w:color w:val="000000"/>
          <w:sz w:val="22"/>
        </w:rPr>
        <w:t>Effective date of rules 135.206, 135.207 and 135.208 [renumbered 12.6, 12.7 and 12.8, IAC 5/4/88] delayed by the Administrative Rules Review Committee 70 days from December 12, 1984. Delay lifted by committee on January 9, 1985.</w:t>
      </w:r>
    </w:p>
    <w:sectPr>
      <w:pgSz w:w="11907" w:h="16839" w:code="9"/>
      <w:pgMar w:top="1440" w:right="1440" w:bottom="1440" w:left="1440"/>
    </w:sectPr>
  </w:body>
</w:document>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147.pdf" Type="http://schemas.openxmlformats.org/officeDocument/2006/relationships/hyperlink" Id="rId5"/>
    <Relationship TargetMode="External" Target="https://www.legis.iowa.gov/docs/ico/chapter/148.pdf" Type="http://schemas.openxmlformats.org/officeDocument/2006/relationships/hyperlink" Id="rId6"/>
    <Relationship TargetMode="External" Target="https://www.legis.iowa.gov/docs/ico/chapter/148E.pdf" Type="http://schemas.openxmlformats.org/officeDocument/2006/relationships/hyperlink" Id="rId7"/>
    <Relationship TargetMode="External" Target="https://www.legis.iowa.gov/docs/ico/chapter/148H.pdf" Type="http://schemas.openxmlformats.org/officeDocument/2006/relationships/hyperlink" Id="rId8"/>
    <Relationship TargetMode="External" Target="https://www.legis.iowa.gov/docs/ico/chapter/252J.pdf" Type="http://schemas.openxmlformats.org/officeDocument/2006/relationships/hyperlink" Id="rId9"/>
    <Relationship TargetMode="External" Target="https://www.legis.iowa.gov/docs/ico/chapter/272C.pdf" Type="http://schemas.openxmlformats.org/officeDocument/2006/relationships/hyperlink" Id="rId10"/>
    <Relationship TargetMode="External" Target="https://www.legis.iowa.gov/docs/ico/chapter/272D.pdf" Type="http://schemas.openxmlformats.org/officeDocument/2006/relationships/hyperlink" Id="rId11"/>
    <Relationship TargetMode="External" Target="https://www.legis.iowa.gov/docs/iac/chapter/481.506.pdf" Type="http://schemas.openxmlformats.org/officeDocument/2006/relationships/hyperlink" Id="rId12"/>
    <Relationship TargetMode="External" Target="https://www.legis.iowa.gov/docs/ico/chapter/147.55.pdf" Type="http://schemas.openxmlformats.org/officeDocument/2006/relationships/hyperlink" Id="rId13"/>
    <Relationship TargetMode="External" Target="https://www.legis.iowa.gov/docs/ico/chapter/148.6.pdf" Type="http://schemas.openxmlformats.org/officeDocument/2006/relationships/hyperlink" Id="rId14"/>
    <Relationship TargetMode="External" Target="https://www.legis.iowa.gov/docs/ico/chapter/148E.8.pdf" Type="http://schemas.openxmlformats.org/officeDocument/2006/relationships/hyperlink" Id="rId15"/>
    <Relationship TargetMode="External" Target="https://www.legis.iowa.gov/docs/ico/chapter/148H.7.pdf" Type="http://schemas.openxmlformats.org/officeDocument/2006/relationships/hyperlink" Id="rId16"/>
    <Relationship TargetMode="External" Target="https://www.legis.iowa.gov/docs/ico/chapter/272C.10.pdf" Type="http://schemas.openxmlformats.org/officeDocument/2006/relationships/hyperlink" Id="rId17"/>
    <Relationship TargetMode="External" Target="https://www.legis.iowa.gov/docs/ico/chapter/272C.15.pdf" Type="http://schemas.openxmlformats.org/officeDocument/2006/relationships/hyperlink" Id="rId18"/>
    <Relationship TargetMode="External" Target="https://www.legis.iowa.gov/docs/ico/chapter/148E.pdf" Type="http://schemas.openxmlformats.org/officeDocument/2006/relationships/hyperlink" Id="rId19"/>
    <Relationship TargetMode="External" Target="https://www.legis.iowa.gov/docs/iac/chapter/481.656.pdf" Type="http://schemas.openxmlformats.org/officeDocument/2006/relationships/hyperlink" Id="rId20"/>
    <Relationship TargetMode="External" Target="https://www.legis.iowa.gov/docs/iac/rule/481.655.7.pdf" Type="http://schemas.openxmlformats.org/officeDocument/2006/relationships/hyperlink" Id="rId21"/>
    <Relationship TargetMode="External" Target="https://www.legis.iowa.gov/docs/iac/rule/481.655.20.pdf" Type="http://schemas.openxmlformats.org/officeDocument/2006/relationships/hyperlink" Id="rId22"/>
    <Relationship TargetMode="External" Target="https://www.legis.iowa.gov/docs/iac/rule/481.656.10.pdf" Type="http://schemas.openxmlformats.org/officeDocument/2006/relationships/hyperlink" Id="rId23"/>
    <Relationship TargetMode="External" Target="https://www.legis.iowa.gov/docs/iac/rule/481.658.4.pdf" Type="http://schemas.openxmlformats.org/officeDocument/2006/relationships/hyperlink" Id="rId24"/>
    <Relationship TargetMode="External" Target="https://www.legis.iowa.gov/docs/iac/rule/481.655.7.pdf" Type="http://schemas.openxmlformats.org/officeDocument/2006/relationships/hyperlink" Id="rId25"/>
    <Relationship TargetMode="External" Target="https://www.legis.iowa.gov/docs/iac/rule/481.655.7.pdf" Type="http://schemas.openxmlformats.org/officeDocument/2006/relationships/hyperlink" Id="rId26"/>
    <Relationship TargetMode="External" Target="https://www.legis.iowa.gov/docs/ico/chapter/148.6.pdf" Type="http://schemas.openxmlformats.org/officeDocument/2006/relationships/hyperlink" Id="rId27"/>
    <Relationship TargetMode="External" Target="https://www.legis.iowa.gov/docs/ico/chapter/147.pdf" Type="http://schemas.openxmlformats.org/officeDocument/2006/relationships/hyperlink" Id="rId28"/>
    <Relationship TargetMode="External" Target="https://www.legis.iowa.gov/docs/ico/chapter/148.pdf" Type="http://schemas.openxmlformats.org/officeDocument/2006/relationships/hyperlink" Id="rId29"/>
    <Relationship TargetMode="External" Target="https://www.legis.iowa.gov/docs/ico/chapter/148E.pdf" Type="http://schemas.openxmlformats.org/officeDocument/2006/relationships/hyperlink" Id="rId30"/>
    <Relationship TargetMode="External" Target="https://www.legis.iowa.gov/docs/ico/chapter/148H.pdf" Type="http://schemas.openxmlformats.org/officeDocument/2006/relationships/hyperlink" Id="rId31"/>
    <Relationship TargetMode="External" Target="https://www.legis.iowa.gov/docs/ico/chapter/272C.pdf" Type="http://schemas.openxmlformats.org/officeDocument/2006/relationships/hyperlink" Id="rId32"/>
    <Relationship TargetMode="External" Target="https://www.legis.iowa.gov/docs/ico/chapter/148.6.pdf" Type="http://schemas.openxmlformats.org/officeDocument/2006/relationships/hyperlink" Id="rId33"/>
    <Relationship TargetMode="External" Target="https://www.legis.iowa.gov/docs/ico/chapter/272C.9.pdf" Type="http://schemas.openxmlformats.org/officeDocument/2006/relationships/hyperlink" Id="rId34"/>
    <Relationship TargetMode="External" Target="https://www.legis.iowa.gov/docs/iac/rule/481.660.2.pdf" Type="http://schemas.openxmlformats.org/officeDocument/2006/relationships/hyperlink" Id="rId35"/>
    <Relationship TargetMode="External" Target="https://www.legis.iowa.gov/docs/ico/chapter/17A.13.pdf" Type="http://schemas.openxmlformats.org/officeDocument/2006/relationships/hyperlink" Id="rId36"/>
    <Relationship TargetMode="External" Target="https://www.legis.iowa.gov/docs/ico/chapter/272C.6.pdf" Type="http://schemas.openxmlformats.org/officeDocument/2006/relationships/hyperlink" Id="rId37"/>
    <Relationship TargetMode="External" Target="https://www.legis.iowa.gov/docs/iac/rule/481.662.2.pdf" Type="http://schemas.openxmlformats.org/officeDocument/2006/relationships/hyperlink" Id="rId38"/>
    <Relationship TargetMode="External" Target="https://www.legis.iowa.gov/docs/iac/chapter/481.506.pdf" Type="http://schemas.openxmlformats.org/officeDocument/2006/relationships/hyperlink" Id="rId39"/>
    <Relationship TargetMode="External" Target="https://www.legis.iowa.gov/docs/ico/chapter/139A.pdf" Type="http://schemas.openxmlformats.org/officeDocument/2006/relationships/hyperlink" Id="rId40"/>
    <Relationship TargetMode="External" Target="https://www.legis.iowa.gov/docs/ico/chapter/139A.22.pdf" Type="http://schemas.openxmlformats.org/officeDocument/2006/relationships/hyperlink" Id="rId41"/>
    <Relationship TargetMode="External" Target="https://www.legis.iowa.gov/docs/ico/chapter/139A.22.pdf" Type="http://schemas.openxmlformats.org/officeDocument/2006/relationships/hyperlink" Id="rId42"/>
    <Relationship TargetMode="External" Target="https://www.legis.iowa.gov/docs/ico/chapter/139A.22.pdf" Type="http://schemas.openxmlformats.org/officeDocument/2006/relationships/hyperlink" Id="rId43"/>
    <Relationship TargetMode="External" Target="https://www.legis.iowa.gov/docs/iac/rule/653.661.1.pdf" Type="http://schemas.openxmlformats.org/officeDocument/2006/relationships/hyperlink" Id="rId44"/>
    <Relationship TargetMode="External" Target="https://www.legis.iowa.gov/docs/iac/rule/653.661.1.pdf" Type="http://schemas.openxmlformats.org/officeDocument/2006/relationships/hyperlink" Id="rId45"/>
    <Relationship TargetMode="External" Target="https://www.legis.iowa.gov/docs/ico/chapter/139A.22.pdf" Type="http://schemas.openxmlformats.org/officeDocument/2006/relationships/hyperlink" Id="rId46"/>
    <Relationship TargetMode="External" Target="https://www.legis.iowa.gov/docs/ico/chapter/139A.22.pdf" Type="http://schemas.openxmlformats.org/officeDocument/2006/relationships/hyperlink" Id="rId47"/>
    <Relationship TargetMode="External" Target="https://www.legis.iowa.gov/docs/ico/chapter/139A.22.pdf" Type="http://schemas.openxmlformats.org/officeDocument/2006/relationships/hyperlink" Id="rId48"/>
    <Relationship TargetMode="External" Target="https://www.legis.iowa.gov/docs/ico/chapter/252J.pdf" Type="http://schemas.openxmlformats.org/officeDocument/2006/relationships/hyperlink" Id="rId49"/>
    <Relationship TargetMode="External" Target="https://www.legis.iowa.gov/docs/ico/chapter/252J.pdf" Type="http://schemas.openxmlformats.org/officeDocument/2006/relationships/hyperlink" Id="rId50"/>
    <Relationship TargetMode="External" Target="https://www.legis.iowa.gov/docs/iac/chapter/481.8.pdf" Type="http://schemas.openxmlformats.org/officeDocument/2006/relationships/hyperlink" Id="rId51"/>
    <Relationship TargetMode="External" Target="https://www.legis.iowa.gov/docs/ico/chapter/272C.3.pdf" Type="http://schemas.openxmlformats.org/officeDocument/2006/relationships/hyperlink" Id="rId52"/>
    <Relationship TargetMode="External" Target="https://www.legis.iowa.gov/docs/iac/rule/481.662.2.pdf" Type="http://schemas.openxmlformats.org/officeDocument/2006/relationships/hyperlink" Id="rId53"/>
    <Relationship TargetMode="External" Target="https://www.legis.iowa.gov/docs/ico/chapter/147.106.pdf" Type="http://schemas.openxmlformats.org/officeDocument/2006/relationships/hyperlink" Id="rId54"/>
    <Relationship TargetMode="External" Target="https://www.legis.iowa.gov/docs/ico/chapter/272D.pdf" Type="http://schemas.openxmlformats.org/officeDocument/2006/relationships/hyperlink" Id="rId55"/>
    <Relationship TargetMode="External" Target="https://www.legis.iowa.gov/docs/iac/chapter/481.8.pdf" Type="http://schemas.openxmlformats.org/officeDocument/2006/relationships/hyperlink" Id="rId56"/>
    <Relationship TargetMode="External" Target="https://www.legis.iowa.gov/docs/ico/chapter/148.12.pdf" Type="http://schemas.openxmlformats.org/officeDocument/2006/relationships/hyperlink" Id="rId57"/>
    <Relationship TargetMode="External" Target="https://www.legis.iowa.gov/docs/iac/rule/481.655.8.pdf" Type="http://schemas.openxmlformats.org/officeDocument/2006/relationships/hyperlink" Id="rId58"/>
    <Relationship TargetMode="External" Target="https://www.legis.iowa.gov/docs/iac/rule/481.655.8.pdf" Type="http://schemas.openxmlformats.org/officeDocument/2006/relationships/hyperlink" Id="rId59"/>
    <Relationship TargetMode="External" Target="https://www.legis.iowa.gov/docs/iac/rule/481.660.5.pdf" Type="http://schemas.openxmlformats.org/officeDocument/2006/relationships/hyperlink" Id="rId60"/>
    <Relationship TargetMode="External" Target="https://www.legis.iowa.gov/docs/ico/chapter/148E.6.pdf" Type="http://schemas.openxmlformats.org/officeDocument/2006/relationships/hyperlink" Id="rId61"/>
    <Relationship TargetMode="External" Target="https://www.legis.iowa.gov/docs/ico/chapter/17A.pdf" Type="http://schemas.openxmlformats.org/officeDocument/2006/relationships/hyperlink" Id="rId62"/>
    <Relationship TargetMode="External" Target="https://www.legis.iowa.gov/docs/ico/chapter/147.pdf" Type="http://schemas.openxmlformats.org/officeDocument/2006/relationships/hyperlink" Id="rId63"/>
    <Relationship TargetMode="External" Target="https://www.legis.iowa.gov/docs/ico/chapter/148.pdf" Type="http://schemas.openxmlformats.org/officeDocument/2006/relationships/hyperlink" Id="rId64"/>
    <Relationship TargetMode="External" Target="https://www.legis.iowa.gov/docs/ico/chapter/148E.pdf" Type="http://schemas.openxmlformats.org/officeDocument/2006/relationships/hyperlink" Id="rId65"/>
    <Relationship TargetMode="External" Target="https://www.legis.iowa.gov/docs/ico/chapter/148H.pdf" Type="http://schemas.openxmlformats.org/officeDocument/2006/relationships/hyperlink" Id="rId66"/>
    <Relationship TargetMode="External" Target="https://www.legis.iowa.gov/docs/ico/chapter/272C.pdf" Type="http://schemas.openxmlformats.org/officeDocument/2006/relationships/hyperlink" Id="rId67"/>
    <Relationship TargetMode="External" Target="https://www.legis.iowa.gov/docs/ico/chapter/272D.pdf" Type="http://schemas.openxmlformats.org/officeDocument/2006/relationships/hyperlink" Id="rId68"/>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