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BOARDING HOMES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481—66.1</w:t>
      </w:r>
      <w:r>
        <w:rPr>
          <w:rFonts w:ascii="Times New Roman" w:hAnsi="Times New Roman"/>
          <w:b/>
          <w:i w:val="false"/>
          <w:color w:val="000000"/>
          <w:sz w:val="22"/>
        </w:rPr>
        <w:t xml:space="preserve">(135O)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“Affiliated person or entity” </w:t>
      </w:r>
      <w:r>
        <w:rPr>
          <w:rFonts w:ascii="Times New Roman" w:hAnsi="Times New Roman"/>
          <w:b w:val="false"/>
          <w:i w:val="false"/>
          <w:color w:val="000000"/>
          <w:sz w:val="22"/>
        </w:rPr>
        <w:t>means an individual operating as a sole proprietorship who is related within the third degree of consanguinity to the boarding home owner or lessee; or a business entity with common ownership or with 25 percent or more ownership by the boarding home owner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means aid or help.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with activities of daily living” </w:t>
      </w:r>
      <w:r>
        <w:rPr>
          <w:rFonts w:ascii="Times New Roman" w:hAnsi="Times New Roman"/>
          <w:b w:val="false"/>
          <w:i w:val="false"/>
          <w:color w:val="000000"/>
          <w:sz w:val="22"/>
        </w:rPr>
        <w:t>does not mean routine, total dependence on staff for the performance of activities of daily living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“Boarding home”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135O.1(1)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“Commencing operations” </w:t>
      </w:r>
      <w:r>
        <w:rPr>
          <w:rFonts w:ascii="Times New Roman" w:hAnsi="Times New Roman"/>
          <w:b w:val="false"/>
          <w:i w:val="false"/>
          <w:color w:val="000000"/>
          <w:sz w:val="22"/>
        </w:rPr>
        <w:t>means the date on which a premises becomes a boarding home by renting to a third individual who meets the requirements pursuant to the definition of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“Known” </w:t>
      </w:r>
      <w:r>
        <w:rPr>
          <w:rFonts w:ascii="Times New Roman" w:hAnsi="Times New Roman"/>
          <w:b w:val="false"/>
          <w:i w:val="false"/>
          <w:color w:val="000000"/>
          <w:sz w:val="22"/>
        </w:rPr>
        <w:t>means information that an owner, a lessee, or a manager possesses without seeking additional information from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“Lessee” </w:t>
      </w:r>
      <w:r>
        <w:rPr>
          <w:rFonts w:ascii="Times New Roman" w:hAnsi="Times New Roman"/>
          <w:b w:val="false"/>
          <w:i w:val="false"/>
          <w:color w:val="000000"/>
          <w:sz w:val="22"/>
        </w:rPr>
        <w:t>means a person who leases the boarding home from its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562A.6(7)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the evidence”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 A “preponderance of the evidence” standard does not require that the investigator personally witnessed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 xml:space="preserve">means a reasonable suspicion to believe that a boarding home is in violation of Iowa Code chapter </w:t>
      </w:r>
      <w:hyperlink r:id="rId7">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 xml:space="preserve"> or licensing or other regulatory requirements of the department of health and human services or department of inspections, appeals, and licensing; or that dependent adult abuse of any individual living in the boarding home has occurred or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means the individual designated on the registration of a boarding home as the department’s primary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“Room” </w:t>
      </w:r>
      <w:r>
        <w:rPr>
          <w:rFonts w:ascii="Times New Roman" w:hAnsi="Times New Roman"/>
          <w:b w:val="false"/>
          <w:i w:val="false"/>
          <w:color w:val="000000"/>
          <w:sz w:val="22"/>
        </w:rPr>
        <w:t>means an apartment, group of rooms, or single room that is occupied as a separate living quarter or, if vacant, that is intended for occupancy as a separate living quarter, in which a tenant can live and sleep separately from any other persons in the building and that has direct access from the outside of the building or through a common 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oversight necessary to prevent accidents or ensure the health, safety, and welfare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 degree of consanguinity” </w:t>
      </w:r>
      <w:r>
        <w:rPr>
          <w:rFonts w:ascii="Times New Roman" w:hAnsi="Times New Roman"/>
          <w:b w:val="false"/>
          <w:i w:val="false"/>
          <w:color w:val="000000"/>
          <w:sz w:val="22"/>
        </w:rPr>
        <w:t>means the following relatives of the owner or lessee: spouse, children, parents, siblings or half-siblings, grandchildren, grandparents, uncles, aunts, nephews, nieces, great-grandparents, and great-grandchildren.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w:t>
      </w:r>
      <w:r>
        <w:rPr>
          <w:rFonts w:ascii="Times New Roman" w:hAnsi="Times New Roman"/>
          <w:b/>
          <w:i w:val="false"/>
          <w:color w:val="000000"/>
          <w:sz w:val="22"/>
        </w:rPr>
        <w:t xml:space="preserve">(135O) </w:t>
      </w:r>
      <w:r>
        <w:rPr>
          <w:rFonts w:ascii="Times New Roman" w:hAnsi="Times New Roman"/>
          <w:b/>
          <w:i w:val="false"/>
          <w:color w:val="000000"/>
          <w:sz w:val="22"/>
        </w:rPr>
        <w:t xml:space="preserve">Registration of boarding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val="false"/>
          <w:color w:val="000000"/>
          <w:sz w:val="22"/>
        </w:rPr>
        <w:t>A boarding home shall complete and submit the boarding home registration form located on the department’s website within 60 days of commencing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val="false"/>
          <w:color w:val="000000"/>
          <w:sz w:val="22"/>
        </w:rPr>
        <w:t>The registration form may be submitted electronically via the department’s website or by mail to the Department of Inspections, Appeals, and Licensing, Health Facilities Division,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w:t>
      </w:r>
      <w:r>
        <w:rPr>
          <w:rFonts w:ascii="Times New Roman" w:hAnsi="Times New Roman"/>
          <w:b w:val="false"/>
          <w:i w:val="false"/>
          <w:color w:val="000000"/>
          <w:sz w:val="22"/>
        </w:rPr>
        <w:t> </w:t>
      </w:r>
      <w:r>
        <w:rPr>
          <w:rFonts w:ascii="Times New Roman" w:hAnsi="Times New Roman"/>
          <w:b w:val="false"/>
          <w:i w:val="false"/>
          <w:color w:val="000000"/>
          <w:sz w:val="22"/>
        </w:rPr>
        <w:t>The registrant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of the owner, lessee and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of rooms available for rent and maximum number of tenants for the entire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of the boarding home, including street address, city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mailing address and email address for the owner, lessee and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Occupant loads as calculated in accordance with the building and fire codes as adopted by the applicable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building is equipped with a fire sprinkler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building is equipped with a centralized kitchen in which meals are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responsible party to whom the department will send all notices regarding the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boarding home shall notify the department as provided in subrule </w:t>
      </w:r>
      <w:hyperlink r:id="rId8">
        <w:r>
          <w:rPr>
            <w:rStyle w:val="Hyperlink"/>
            <w:rFonts w:ascii="Times New Roman" w:hAnsi="Times New Roman"/>
            <w:b w:val="false"/>
            <w:i w:val="false"/>
            <w:color w:val="000000"/>
            <w:sz w:val="22"/>
          </w:rPr>
          <w:t>66.2(2)</w:t>
        </w:r>
      </w:hyperlink>
      <w:r>
        <w:rPr>
          <w:rFonts w:ascii="Times New Roman" w:hAnsi="Times New Roman"/>
          <w:b w:val="false"/>
          <w:i w:val="false"/>
          <w:color w:val="000000"/>
          <w:sz w:val="22"/>
        </w:rPr>
        <w:t xml:space="preserve"> of any changes to the information on the initial statement of registration within 30 days of when the change occurs, including cessation of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481—66.3</w:t>
      </w:r>
      <w:r>
        <w:rPr>
          <w:rFonts w:ascii="Times New Roman" w:hAnsi="Times New Roman"/>
          <w:b/>
          <w:i w:val="false"/>
          <w:color w:val="000000"/>
          <w:sz w:val="22"/>
        </w:rPr>
        <w:t xml:space="preserve">(135O) </w:t>
      </w:r>
      <w:r>
        <w:rPr>
          <w:rFonts w:ascii="Times New Roman" w:hAnsi="Times New Roman"/>
          <w:b/>
          <w:i w:val="false"/>
          <w:color w:val="000000"/>
          <w:sz w:val="22"/>
        </w:rPr>
        <w:t xml:space="preserve">Occupancy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boarding home shall update its boarding home registration form with the department annually between January 1 and January 31 as provided in subrule </w:t>
      </w:r>
      <w:hyperlink r:id="rId9">
        <w:r>
          <w:rPr>
            <w:rStyle w:val="Hyperlink"/>
            <w:rFonts w:ascii="Times New Roman" w:hAnsi="Times New Roman"/>
            <w:b w:val="false"/>
            <w:i w:val="false"/>
            <w:color w:val="000000"/>
            <w:sz w:val="22"/>
          </w:rPr>
          <w:t>66.2(2)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val="false"/>
          <w:color w:val="000000"/>
          <w:sz w:val="22"/>
        </w:rPr>
        <w:t>The owner or lessee shall include the following information on the occupancy report. If the owner or lessee is unable to answer the question because the owner or lessee does not have such information, the owner or lessee shall indicate such on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number of rooms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number of tenants residing in the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last fire inspection and any deficiencies noted and how such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tenants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tenants receiving food assistance benefits (EBT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tenants receiving other types of state assistance and the types of state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 or arranged by the owner, lessee, manager or an affiliated person or entity; frequency of services by type; and the name and contact information of the person or entity providing or arranging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assistance or supervision provided to tenants by the owner, lessee or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Method of rent payments, such as cash, check, or state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number of tenants with a power of attorney, guardian or conservator.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481—66.4</w:t>
      </w:r>
      <w:r>
        <w:rPr>
          <w:rFonts w:ascii="Times New Roman" w:hAnsi="Times New Roman"/>
          <w:b/>
          <w:i w:val="false"/>
          <w:color w:val="000000"/>
          <w:sz w:val="22"/>
        </w:rPr>
        <w:t xml:space="preserve">(135O)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a concern regarding the operation of a boarding home may file a complaint with the department in writing, by use of the complaint hotline at 1.877.686.0027 or through the department’s website at </w:t>
      </w:r>
      <w:hyperlink r:id="rId1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will forward the complaint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other state agencies receive a complaint that relates to boarding homes, the agencies will forward the complaint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act on anonymous complaints unless the department determines that the complaint is intended to harass the boarding home or is without a reasonable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reports. </w:t>
      </w:r>
      <w:r>
        <w:rPr>
          <w:rFonts w:ascii="Times New Roman" w:hAnsi="Times New Roman"/>
          <w:b w:val="false"/>
          <w:i w:val="false"/>
          <w:color w:val="000000"/>
          <w:sz w:val="22"/>
        </w:rPr>
        <w:t>The complaint will include as much of the following information as possible: the complainant’s name, address and telephone number; the complainant’s relationship to the boarding home and tenant; and the reason for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color w:val="000000"/>
          <w:sz w:val="22"/>
        </w:rPr>
        <w:t xml:space="preserve">Initiation of investigations and time frames for investigation of complaints. </w:t>
      </w:r>
      <w:r>
        <w:rPr>
          <w:rFonts w:ascii="Times New Roman" w:hAnsi="Times New Roman"/>
          <w:b w:val="false"/>
          <w:i w:val="false"/>
          <w:color w:val="000000"/>
          <w:sz w:val="22"/>
        </w:rPr>
        <w:t>If the department determines there is probable cause to believe that a boarding home is an unregistered boarding home or that a registered boarding home is not in compliance with applicable law, an investigation will be initiated. The department will evaluate whether other local, state, or federal agencies, including law enforcement, should be provided a referral or included in the investigation. An investigation of the boarding home will be initiated within 45 working days. If there is the likelihood of immediate danger, the department will initiate an investigation of the boarding home within two working days of receipt of the complaint. If there is an allegation of harm, the department will initiate an investigation of the boarding home within 20 working days of receipt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will apply a preponderance of the evidence standard in determining whether a complaint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boarding home or alleged boarding home of results of investigation. </w:t>
      </w:r>
      <w:r>
        <w:rPr>
          <w:rFonts w:ascii="Times New Roman" w:hAnsi="Times New Roman"/>
          <w:b w:val="false"/>
          <w:i w:val="false"/>
          <w:color w:val="000000"/>
          <w:sz w:val="22"/>
        </w:rPr>
        <w:t>The department will notify the boarding home or alleged boarding home, in writing, of the final report of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complainant of results of investigation. </w:t>
      </w:r>
      <w:r>
        <w:rPr>
          <w:rFonts w:ascii="Times New Roman" w:hAnsi="Times New Roman"/>
          <w:b w:val="false"/>
          <w:i w:val="false"/>
          <w:color w:val="000000"/>
          <w:sz w:val="22"/>
        </w:rPr>
        <w:t>The complainant, if known, will be notified of the final findings of a complaint investigation or if the department determines not to investigate a complaint and will receive an explanation of the department’s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481—66.6</w:t>
      </w:r>
      <w:r>
        <w:rPr>
          <w:rFonts w:ascii="Times New Roman" w:hAnsi="Times New Roman"/>
          <w:b/>
          <w:i w:val="false"/>
          <w:color w:val="000000"/>
          <w:sz w:val="22"/>
        </w:rPr>
        <w:t xml:space="preserve">(135O)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The director will consider the following when determining whether to assess a penalty for violation of Iowa Code chapter </w:t>
      </w:r>
      <w:hyperlink r:id="rId11">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 xml:space="preserve"> or rules adopted thereunder and the amount of the penalty: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duration of the noncompliance;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nature of the noncompliance;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response of the owner or lessee upon notification of noncompliance;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tenants affected;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impact to the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481—66.7</w:t>
      </w:r>
      <w:r>
        <w:rPr>
          <w:rFonts w:ascii="Times New Roman" w:hAnsi="Times New Roman"/>
          <w:b/>
          <w:i w:val="false"/>
          <w:color w:val="000000"/>
          <w:sz w:val="22"/>
        </w:rPr>
        <w:t xml:space="preserve">(135O) </w:t>
      </w:r>
      <w:r>
        <w:rPr>
          <w:rFonts w:ascii="Times New Roman" w:hAnsi="Times New Roman"/>
          <w:b/>
          <w:i w:val="false"/>
          <w:color w:val="000000"/>
          <w:sz w:val="22"/>
        </w:rPr>
        <w:t xml:space="preserve">Public and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investigations, unless otherwise confidential by law, such as investigative findings of the division of criminal investigation of the department of public safety or dependent adult abuse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that does not comprise a final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tenants of a boarding home, identifying personal or medical information, copies of documentation appointing a legal representative, and the address of anyone other than an owner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security or employer identification numbers (EIN).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will be redacted prior to an agency’s providing the record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66.7(4)</w:t>
      </w:r>
      <w:r>
        <w:rPr>
          <w:rFonts w:ascii="Times New Roman" w:hAnsi="Times New Roman"/>
          <w:b w:val="false"/>
          <w:i w:val="false"/>
          <w:color w:val="000000"/>
          <w:sz w:val="22"/>
        </w:rPr>
        <w:t> </w:t>
      </w:r>
      <w:r>
        <w:rPr>
          <w:rFonts w:ascii="Times New Roman" w:hAnsi="Times New Roman"/>
          <w:b w:val="false"/>
          <w:i/>
          <w:color w:val="000000"/>
          <w:sz w:val="22"/>
        </w:rPr>
        <w:t xml:space="preserve">Searchable database of all registered boarding homes. </w:t>
      </w:r>
      <w:r>
        <w:rPr>
          <w:rFonts w:ascii="Times New Roman" w:hAnsi="Times New Roman"/>
          <w:b w:val="false"/>
          <w:i w:val="false"/>
          <w:color w:val="000000"/>
          <w:sz w:val="22"/>
        </w:rPr>
        <w:t xml:space="preserve">The department will maintain a searchable database of all registered boarding homes on the health facilities division’s website at </w:t>
      </w:r>
      <w:hyperlink r:id="rId1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8243B</w:t>
      </w:r>
      <w:r>
        <w:rPr>
          <w:rFonts w:ascii="Times New Roman" w:hAnsi="Times New Roman"/>
          <w:b w:val="false"/>
          <w:i w:val="false"/>
          <w:color w:val="000000"/>
          <w:sz w:val="21"/>
        </w:rPr>
        <w:t xml:space="preserve"> (Notice ARC 8047B, IAB 8/26/09)</w:t>
      </w:r>
      <w:r>
        <w:rPr>
          <w:rFonts w:ascii="Times New Roman" w:hAnsi="Times New Roman"/>
          <w:b w:val="false"/>
          <w:i w:val="false"/>
          <w:color w:val="000000"/>
          <w:sz w:val="21"/>
        </w:rPr>
        <w:t>, IAB 10/21/09, effective 1/1/10]</w:t>
      </w:r>
    </w:p>
    <w:p>
      <w:pPr>
        <w:spacing w:before="0" w:after="0"/>
        <w:ind w:left="120"/>
        <w:jc w:val="center"/>
      </w:pPr>
      <w:r>
        <w:rPr>
          <w:rFonts w:ascii="Times New Roman" w:hAnsi="Times New Roman"/>
          <w:b w:val="false"/>
          <w:i w:val="false"/>
          <w:color w:val="000000"/>
          <w:sz w:val="21"/>
        </w:rPr>
        <w:t>[Filed ARC 7034C</w:t>
      </w:r>
      <w:r>
        <w:rPr>
          <w:rFonts w:ascii="Times New Roman" w:hAnsi="Times New Roman"/>
          <w:b w:val="false"/>
          <w:i w:val="false"/>
          <w:color w:val="000000"/>
          <w:sz w:val="21"/>
        </w:rPr>
        <w:t xml:space="preserve"> (Notice ARC 6909C,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0062D</w:t>
      </w:r>
      <w:r>
        <w:rPr>
          <w:rFonts w:ascii="Times New Roman" w:hAnsi="Times New Roman"/>
          <w:b w:val="false"/>
          <w:i w:val="false"/>
          <w:color w:val="000000"/>
          <w:sz w:val="21"/>
        </w:rPr>
        <w:t xml:space="preserve"> (Notice ARC 9780C, IAB 12/10/25)</w:t>
      </w:r>
      <w:r>
        <w:rPr>
          <w:rFonts w:ascii="Times New Roman" w:hAnsi="Times New Roman"/>
          <w:b w:val="false"/>
          <w:i w:val="false"/>
          <w:color w:val="000000"/>
          <w:sz w:val="21"/>
        </w:rPr>
        <w:t>, IAB 2/4/26, effective 3/11/26]</w:t>
      </w:r>
    </w:p>
    <w:sectPr>
      <w:footerReference r:id="rId1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O.1.pdf" Type="http://schemas.openxmlformats.org/officeDocument/2006/relationships/hyperlink" Id="rId5"/>
    <Relationship TargetMode="External" Target="https://www.legis.iowa.gov/docs/ico/chapter/562A.6.pdf" Type="http://schemas.openxmlformats.org/officeDocument/2006/relationships/hyperlink" Id="rId6"/>
    <Relationship TargetMode="External" Target="https://www.legis.iowa.gov/docs/ico/chapter/135O.pdf" Type="http://schemas.openxmlformats.org/officeDocument/2006/relationships/hyperlink" Id="rId7"/>
    <Relationship TargetMode="External" Target="https://www.legis.iowa.gov/docs/iac/rule/481.66.2.pdf" Type="http://schemas.openxmlformats.org/officeDocument/2006/relationships/hyperlink" Id="rId8"/>
    <Relationship TargetMode="External" Target="https://www.legis.iowa.gov/docs/iac/rule/481.66.2.pdf" Type="http://schemas.openxmlformats.org/officeDocument/2006/relationships/hyperlink" Id="rId9"/>
    <Relationship TargetMode="External" Target="http://dial.iowa.gov" Type="http://schemas.openxmlformats.org/officeDocument/2006/relationships/hyperlink" Id="rId10"/>
    <Relationship TargetMode="External" Target="https://www.legis.iowa.gov/docs/ico/chapter/135O.pdf" Type="http://schemas.openxmlformats.org/officeDocument/2006/relationships/hyperlink" Id="rId11"/>
    <Relationship TargetMode="External" Target="http://dia-hfd.iowa.gov" Type="http://schemas.openxmlformats.org/officeDocument/2006/relationships/hyperlink" Id="rId12"/>
    <Relationship TargetMode="External" Target="https://www.legis.iowa.gov/docs/ico/chapter/135O.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