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656</w:t>
      </w:r>
    </w:p>
    <w:p>
      <w:pPr>
        <w:spacing w:before="0" w:after="0"/>
        <w:ind w:left="120"/>
        <w:jc w:val="center"/>
      </w:pPr>
      <w:r>
        <w:rPr>
          <w:rFonts w:ascii="Times New Roman" w:hAnsi="Times New Roman"/>
          <w:b w:val="false"/>
          <w:i w:val="false"/>
          <w:color w:val="000000"/>
          <w:sz w:val="21"/>
        </w:rPr>
        <w:t>LICENSURE OF ACUPUNCTURISTS</w:t>
      </w:r>
    </w:p>
    <w:p>
      <w:pPr>
        <w:spacing w:before="0" w:after="0"/>
        <w:ind w:left="120"/>
        <w:jc w:val="center"/>
      </w:pPr>
      <w:r>
        <w:rPr>
          <w:rFonts w:ascii="Times New Roman" w:hAnsi="Times New Roman"/>
          <w:b w:val="false"/>
          <w:i w:val="false"/>
          <w:color w:val="000000"/>
          <w:sz w:val="20"/>
        </w:rPr>
        <w:t>[Prior to 6/11/25, see Medicine Board[653] Ch 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481—656.1</w:t>
      </w:r>
      <w:r>
        <w:rPr>
          <w:rFonts w:ascii="Times New Roman" w:hAnsi="Times New Roman"/>
          <w:b/>
          <w:i w:val="false"/>
          <w:color w:val="000000"/>
          <w:sz w:val="22"/>
        </w:rPr>
        <w:t xml:space="preserve">(148E)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The rules in this chapter only apply to individuals licensed under Iowa Code chapter </w:t>
      </w:r>
      <w:hyperlink r:id="rId5">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In accordance with Iowa Code section </w:t>
      </w:r>
      <w:hyperlink r:id="rId6">
        <w:r>
          <w:rPr>
            <w:rStyle w:val="Hyperlink"/>
            <w:rFonts w:ascii="Times New Roman" w:hAnsi="Times New Roman"/>
            <w:b w:val="false"/>
            <w:i w:val="false"/>
            <w:color w:val="000000"/>
            <w:sz w:val="22"/>
          </w:rPr>
          <w:t>148E.3</w:t>
        </w:r>
      </w:hyperlink>
      <w:r>
        <w:rPr>
          <w:rFonts w:ascii="Times New Roman" w:hAnsi="Times New Roman"/>
          <w:b w:val="false"/>
          <w:i w:val="false"/>
          <w:color w:val="000000"/>
          <w:sz w:val="22"/>
        </w:rPr>
        <w:t>, the rules in this chapter do not apply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person otherwise licensed by the state to practice medicine and surgery, osteopathic medicine and surgery, chiropractic, podiatry, or dentistry who is exclusively engaged in the practice of the person’s profession.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student practicing acupuncture under the direct supervision of a licensed acupuncturist as part of a course of study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481—656.2</w:t>
      </w:r>
      <w:r>
        <w:rPr>
          <w:rFonts w:ascii="Times New Roman" w:hAnsi="Times New Roman"/>
          <w:b/>
          <w:i w:val="false"/>
          <w:color w:val="000000"/>
          <w:sz w:val="22"/>
        </w:rPr>
        <w:t xml:space="preserve">(148E)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stated in Iowa Code section </w:t>
      </w:r>
      <w:hyperlink r:id="rId7">
        <w:r>
          <w:rPr>
            <w:rStyle w:val="Hyperlink"/>
            <w:rFonts w:ascii="Times New Roman" w:hAnsi="Times New Roman"/>
            <w:b w:val="false"/>
            <w:i w:val="false"/>
            <w:color w:val="000000"/>
            <w:sz w:val="22"/>
          </w:rPr>
          <w:t>148E.1</w:t>
        </w:r>
      </w:hyperlink>
      <w:r>
        <w:rPr>
          <w:rFonts w:ascii="Times New Roman" w:hAnsi="Times New Roman"/>
          <w:b w:val="false"/>
          <w:i w:val="false"/>
          <w:color w:val="000000"/>
          <w:sz w:val="22"/>
        </w:rPr>
        <w:t xml:space="preserve"> apply to this chapter, in addition to those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“Accreditation Commission for Acupuncture and Oriental Medicine”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“ACAOM”</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States-based accreditation commission that certifies acupuncture and oriental medicine training programs and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“Acupuncture needle”</w:t>
      </w:r>
      <w:r>
        <w:rPr>
          <w:rFonts w:ascii="Times New Roman" w:hAnsi="Times New Roman"/>
          <w:b w:val="false"/>
          <w:i w:val="false"/>
          <w:color w:val="000000"/>
          <w:sz w:val="22"/>
        </w:rPr>
        <w:t> </w:t>
      </w:r>
      <w:r>
        <w:rPr>
          <w:rFonts w:ascii="Times New Roman" w:hAnsi="Times New Roman"/>
          <w:b w:val="false"/>
          <w:i w:val="false"/>
          <w:color w:val="000000"/>
          <w:sz w:val="22"/>
        </w:rPr>
        <w:t>means a solid-core instrument including but not limited to acupuncture needles, dermal needles, intradermal needles, press tacks, plum blossom needles, prismatic needles, and disposable lancets.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“Acupuncture point”</w:t>
      </w:r>
      <w:r>
        <w:rPr>
          <w:rFonts w:ascii="Times New Roman" w:hAnsi="Times New Roman"/>
          <w:b w:val="false"/>
          <w:i w:val="false"/>
          <w:color w:val="000000"/>
          <w:sz w:val="22"/>
        </w:rPr>
        <w:t> </w:t>
      </w:r>
      <w:r>
        <w:rPr>
          <w:rFonts w:ascii="Times New Roman" w:hAnsi="Times New Roman"/>
          <w:b w:val="false"/>
          <w:i w:val="false"/>
          <w:color w:val="000000"/>
          <w:sz w:val="22"/>
        </w:rPr>
        <w:t>means a specific anatomical location on the human body that serves as the treatment site for the use of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not otherwise authorized to practice acupuncture under Iowa Code section </w:t>
      </w:r>
      <w:hyperlink r:id="rId8">
        <w:r>
          <w:rPr>
            <w:rStyle w:val="Hyperlink"/>
            <w:rFonts w:ascii="Times New Roman" w:hAnsi="Times New Roman"/>
            <w:b w:val="false"/>
            <w:i w:val="false"/>
            <w:color w:val="000000"/>
            <w:sz w:val="22"/>
          </w:rPr>
          <w:t>148E.3</w:t>
        </w:r>
      </w:hyperlink>
      <w:r>
        <w:rPr>
          <w:rFonts w:ascii="Times New Roman" w:hAnsi="Times New Roman"/>
          <w:b w:val="false"/>
          <w:i w:val="false"/>
          <w:color w:val="000000"/>
          <w:sz w:val="22"/>
        </w:rPr>
        <w:t xml:space="preserve"> who applies to the board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“Ashi acupuncture point”</w:t>
      </w:r>
      <w:r>
        <w:rPr>
          <w:rFonts w:ascii="Times New Roman" w:hAnsi="Times New Roman"/>
          <w:b w:val="false"/>
          <w:i w:val="false"/>
          <w:color w:val="000000"/>
          <w:sz w:val="22"/>
        </w:rPr>
        <w:t> </w:t>
      </w:r>
      <w:r>
        <w:rPr>
          <w:rFonts w:ascii="Times New Roman" w:hAnsi="Times New Roman"/>
          <w:b w:val="false"/>
          <w:i w:val="false"/>
          <w:color w:val="000000"/>
          <w:sz w:val="22"/>
        </w:rPr>
        <w:t>means an acupuncture point that is located according to tenderness upon palpation. An ashi acupuncture point is also known as a trigger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w:t>
      </w:r>
      <w:r>
        <w:rPr>
          <w:rFonts w:ascii="Times New Roman" w:hAnsi="Times New Roman"/>
          <w:b w:val="false"/>
          <w:i w:val="false"/>
          <w:color w:val="000000"/>
          <w:sz w:val="22"/>
        </w:rPr>
        <w:t> </w:t>
      </w:r>
      <w:r>
        <w:rPr>
          <w:rFonts w:ascii="Times New Roman" w:hAnsi="Times New Roman"/>
          <w:b w:val="false"/>
          <w:i w:val="false"/>
          <w:color w:val="000000"/>
          <w:sz w:val="22"/>
        </w:rPr>
        <w:t>means the licensure committee of the board with oversight responsibility for administration of the licensure of acupuncturists.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“Disclosure sheet”</w:t>
      </w:r>
      <w:r>
        <w:rPr>
          <w:rFonts w:ascii="Times New Roman" w:hAnsi="Times New Roman"/>
          <w:b w:val="false"/>
          <w:i w:val="false"/>
          <w:color w:val="000000"/>
          <w:sz w:val="22"/>
        </w:rPr>
        <w:t> </w:t>
      </w:r>
      <w:r>
        <w:rPr>
          <w:rFonts w:ascii="Times New Roman" w:hAnsi="Times New Roman"/>
          <w:b w:val="false"/>
          <w:i w:val="false"/>
          <w:color w:val="000000"/>
          <w:sz w:val="22"/>
        </w:rPr>
        <w:t>means the written information licensed acupuncturists must provide to patients on initial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“Disposable needles”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presterilized needles that are discarded after initial use pursuant to Iowa Code section </w:t>
      </w:r>
      <w:hyperlink r:id="rId9">
        <w:r>
          <w:rPr>
            <w:rStyle w:val="Hyperlink"/>
            <w:rFonts w:ascii="Times New Roman" w:hAnsi="Times New Roman"/>
            <w:b w:val="false"/>
            <w:i w:val="false"/>
            <w:color w:val="000000"/>
            <w:sz w:val="22"/>
          </w:rPr>
          <w:t>148E.5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issued by the board pursuant to Iowa Code section </w:t>
      </w:r>
      <w:hyperlink r:id="rId10">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holding a license to practice acupuncture issued by the board pursuant to Iowa Code chapter </w:t>
      </w:r>
      <w:hyperlink r:id="rId11">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Certification Commission for Acupuncture and Oriental Medicine”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“NCCAOM”</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States-based commission that validates entry-level competency in the practice of acupuncture and oriental medicine through professional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481—656.3</w:t>
      </w:r>
      <w:r>
        <w:rPr>
          <w:rFonts w:ascii="Times New Roman" w:hAnsi="Times New Roman"/>
          <w:b/>
          <w:i w:val="false"/>
          <w:color w:val="000000"/>
          <w:sz w:val="22"/>
        </w:rPr>
        <w:t xml:space="preserve">(147,148E) </w:t>
      </w:r>
      <w:r>
        <w:rPr>
          <w:rFonts w:ascii="Times New Roman" w:hAnsi="Times New Roman"/>
          <w:b/>
          <w:i w:val="false"/>
          <w:color w:val="000000"/>
          <w:sz w:val="22"/>
        </w:rPr>
        <w:t xml:space="preserve">Eligibility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To be licensed to practice acupuncture by the board, a person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all the application requirements as specified in rule </w:t>
      </w:r>
      <w:hyperlink r:id="rId12">
        <w:r>
          <w:rPr>
            <w:rStyle w:val="Hyperlink"/>
            <w:rFonts w:ascii="Times New Roman" w:hAnsi="Times New Roman"/>
            <w:b w:val="false"/>
            <w:i w:val="false"/>
            <w:color w:val="000000"/>
            <w:sz w:val="22"/>
          </w:rPr>
          <w:t>481—656.4</w:t>
        </w:r>
      </w:hyperlink>
      <w:r>
        <w:rPr>
          <w:rFonts w:ascii="Times New Roman" w:hAnsi="Times New Roman"/>
          <w:b w:val="false"/>
          <w:i w:val="false"/>
          <w:color w:val="000000"/>
          <w:sz w:val="22"/>
        </w:rPr>
        <w:t>(147,148E).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current active status as a diplomate in NCCAOM or, after June 1, 2004, hold current active status as a diplomate in acupuncture or oriental medicine from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sufficient knowledge of the English language to understand and be understood by patients and board and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who passed the NCCAOM written and practical examination components in English may be presumed to have sufficient proficiency in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who passed NCCAOM written or practical examination components in a language other than English shall pass the Test of Spoken English (TSE) or the Test of English as a Foreign Language (TOEFL) examinations administered by the Educational Testing Service or shall pass the OET medicine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three-year postsecondary training program or acupuncture college program that is accredited by, in candidacy for accreditation by, or that meets the standards of the Accreditation Commission for Acupuncture and Oriental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course in clean needle technique approved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13">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14">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i w:val="false"/>
          <w:color w:val="000000"/>
          <w:sz w:val="16"/>
        </w:rPr>
        <w:t>ARC 0465D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481—656.4</w:t>
      </w:r>
      <w:r>
        <w:rPr>
          <w:rFonts w:ascii="Times New Roman" w:hAnsi="Times New Roman"/>
          <w:b/>
          <w:i w:val="false"/>
          <w:color w:val="000000"/>
          <w:sz w:val="22"/>
        </w:rPr>
        <w:t xml:space="preserve">(147,148E) </w:t>
      </w:r>
      <w:r>
        <w:rPr>
          <w:rFonts w:ascii="Times New Roman" w:hAnsi="Times New Roman"/>
          <w:b/>
          <w:i w:val="false"/>
          <w:color w:val="000000"/>
          <w:sz w:val="22"/>
        </w:rPr>
        <w:t xml:space="preserve">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licensure. </w:t>
      </w:r>
      <w:r>
        <w:rPr>
          <w:rFonts w:ascii="Times New Roman" w:hAnsi="Times New Roman"/>
          <w:b w:val="false"/>
          <w:i w:val="false"/>
          <w:color w:val="000000"/>
          <w:sz w:val="22"/>
        </w:rPr>
        <w:t>To apply for a license to practice acupuncture,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provided by the board, including required credentials and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nonrefundable initial application fee identified in </w:t>
      </w:r>
      <w:hyperlink r:id="rId15">
        <w:r>
          <w:rPr>
            <w:rStyle w:val="Hyperlink"/>
            <w:rFonts w:ascii="Times New Roman" w:hAnsi="Times New Roman"/>
            <w:b w:val="false"/>
            <w:i w:val="false"/>
            <w:color w:val="000000"/>
            <w:sz w:val="22"/>
          </w:rPr>
          <w:t>481—subrule 651.2(1)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fee identified in </w:t>
      </w:r>
      <w:hyperlink r:id="rId16">
        <w:r>
          <w:rPr>
            <w:rStyle w:val="Hyperlink"/>
            <w:rFonts w:ascii="Times New Roman" w:hAnsi="Times New Roman"/>
            <w:b w:val="false"/>
            <w:i w:val="false"/>
            <w:color w:val="000000"/>
            <w:sz w:val="22"/>
          </w:rPr>
          <w:t>481—subrule 651.2(5)</w:t>
        </w:r>
      </w:hyperlink>
      <w:r>
        <w:rPr>
          <w:rFonts w:ascii="Times New Roman" w:hAnsi="Times New Roman"/>
          <w:b w:val="false"/>
          <w:i w:val="false"/>
          <w:color w:val="000000"/>
          <w:sz w:val="22"/>
        </w:rPr>
        <w:t xml:space="preserve"> for the evaluation of the fingerprint packet and the national criminal history background checks by the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application form. </w:t>
      </w:r>
      <w:r>
        <w:rPr>
          <w:rFonts w:ascii="Times New Roman" w:hAnsi="Times New Roman"/>
          <w:b w:val="false"/>
          <w:i w:val="false"/>
          <w:color w:val="000000"/>
          <w:sz w:val="22"/>
        </w:rPr>
        <w:t>Each applicant shall submit the following information on the application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an acupuncture and oriental medicine training program or college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other jurisdictions in the United States or other nations or territories in which the applicant is authorized to practice acupuncture, including license, certificate of registration or certification numbers, and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acupuncture in any jurisdiction of the United States,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acupuncture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NCCAOM score report verification form submitted directly to the board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NCCAOM certificate that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a course in clean needle technique approved by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clinical acupuncture training, work experience and, where applicable,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acupuncture degree issued by an educational institution. If a copy of the acupuncture degree cannot be provided because of extraordinary circumstances, the board may accept other reliable evidence that the applicant obtained an acupuncture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of any diploma not written in English. An official transcript, written in English and received directly from the educational institution, showing graduation from an acupuncture training program or an educational institution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sworn statement from an official of the educational institution certifying the date the applicant received the acupuncture degree and acknowledging what, if any, derogatory comments exist in the institution’s record about the applicant. If a sworn statement from an official of the educational institution cannot be provided because of extraordinary circumstances, the board may accept other reliable evidence that the applicant obtained an acupuncture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sent directly from an acupuncture training program or an educational institution attended by the applicant and, if requested by the board, an English translation of the official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proficiency in the English language, when the applicant has not passed the English version of the NCCAOM written and practical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656.4(3)</w:t>
      </w:r>
      <w:r>
        <w:rPr>
          <w:rFonts w:ascii="Times New Roman" w:hAnsi="Times New Roman"/>
          <w:b w:val="false"/>
          <w:i w:val="false"/>
          <w:color w:val="000000"/>
          <w:sz w:val="22"/>
        </w:rPr>
        <w:t> </w:t>
      </w:r>
      <w:r>
        <w:rPr>
          <w:rFonts w:ascii="Times New Roman" w:hAnsi="Times New Roman"/>
          <w:b w:val="false"/>
          <w:i/>
          <w:color w:val="000000"/>
          <w:sz w:val="22"/>
        </w:rPr>
        <w:t xml:space="preserve">Application cycle. </w:t>
      </w:r>
      <w:r>
        <w:rPr>
          <w:rFonts w:ascii="Times New Roman" w:hAnsi="Times New Roman"/>
          <w:b w:val="false"/>
          <w:i w:val="false"/>
          <w:color w:val="000000"/>
          <w:sz w:val="22"/>
        </w:rPr>
        <w:t>If the applicant does not submit all materials, including a completed fingerprint packet, within 90 days of the board’s initial request for further information, the application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reactivate the application, an applicant shall submit a nonrefundable reactivation of application fee identified in </w:t>
      </w:r>
      <w:hyperlink r:id="rId17">
        <w:r>
          <w:rPr>
            <w:rStyle w:val="Hyperlink"/>
            <w:rFonts w:ascii="Times New Roman" w:hAnsi="Times New Roman"/>
            <w:b w:val="false"/>
            <w:i w:val="false"/>
            <w:color w:val="000000"/>
            <w:sz w:val="22"/>
          </w:rPr>
          <w:t>481—subrule 651.2(2)</w:t>
        </w:r>
      </w:hyperlink>
      <w:r>
        <w:rPr>
          <w:rFonts w:ascii="Times New Roman" w:hAnsi="Times New Roman"/>
          <w:b w:val="false"/>
          <w:i w:val="false"/>
          <w:color w:val="000000"/>
          <w:sz w:val="22"/>
        </w:rPr>
        <w:t xml:space="preserve"> and shall update application materials if requested by the board. The period for requesting reactivation is limited to 30 days from the date the applicant is notified that the application is inactive, unless the applicant is granted an extension in writing by the committee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application reactivation period is expired, applicants must reapply and submit a new, nonrefundable initial application fee and a new application, including required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656.4(4)</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licensure to practice acupuncture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Paying all fees charged by regulatory authorities, national testing or credentialing organizations, health facilities, and educational institutions providing the information specified in subrule </w:t>
      </w:r>
      <w:hyperlink r:id="rId18">
        <w:r>
          <w:rPr>
            <w:rStyle w:val="Hyperlink"/>
            <w:rFonts w:ascii="Times New Roman" w:hAnsi="Times New Roman"/>
            <w:b w:val="false"/>
            <w:i w:val="false"/>
            <w:color w:val="000000"/>
            <w:sz w:val="22"/>
          </w:rPr>
          <w:t>656.4(2)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accurate, up-to-date, and truthful information on the application form, including but not limited to that specified under subrule </w:t>
      </w:r>
      <w:hyperlink r:id="rId19">
        <w:r>
          <w:rPr>
            <w:rStyle w:val="Hyperlink"/>
            <w:rFonts w:ascii="Times New Roman" w:hAnsi="Times New Roman"/>
            <w:b w:val="false"/>
            <w:i w:val="false"/>
            <w:color w:val="000000"/>
            <w:sz w:val="22"/>
          </w:rPr>
          <w:t>656.4(2)</w:t>
        </w:r>
      </w:hyperlink>
      <w:r>
        <w:rPr>
          <w:rFonts w:ascii="Times New Roman" w:hAnsi="Times New Roman"/>
          <w:b w:val="false"/>
          <w:i w:val="false"/>
          <w:color w:val="000000"/>
          <w:sz w:val="22"/>
        </w:rPr>
        <w:t xml:space="preserve"> related to prior professional experience, education, training, examination scores, diplomate status, licensure or registration,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English translations of documents in foreign languages bearing the affidavit of the translator certifying that the translation is a true and complete translation of the foreign language original. The applicant shall bear the expense of the translation.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656.4(5)</w:t>
      </w:r>
      <w:r>
        <w:rPr>
          <w:rFonts w:ascii="Times New Roman" w:hAnsi="Times New Roman"/>
          <w:b w:val="false"/>
          <w:i w:val="false"/>
          <w:color w:val="000000"/>
          <w:sz w:val="22"/>
        </w:rPr>
        <w:t> </w:t>
      </w:r>
      <w:r>
        <w:rPr>
          <w:rFonts w:ascii="Times New Roman" w:hAnsi="Times New Roman"/>
          <w:b w:val="false"/>
          <w:i/>
          <w:color w:val="000000"/>
          <w:sz w:val="22"/>
        </w:rPr>
        <w:t xml:space="preserve">Licensure application review process. </w:t>
      </w:r>
      <w:r>
        <w:rPr>
          <w:rFonts w:ascii="Times New Roman" w:hAnsi="Times New Roman"/>
          <w:b w:val="false"/>
          <w:i w:val="false"/>
          <w:color w:val="000000"/>
          <w:sz w:val="22"/>
        </w:rPr>
        <w:t>The process below is utilized to review each application. Priority is given to processing a licensure application when a written request is received in the board office from an applicant whose practice will primarily involve provision of services to underserved populations, including but not limited to persons who are minorities or low-income or who live in rural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licensure is considered open from the date the application form is received in the board office with the nonrefundable initial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will notify the applicant about how to resolve any problems identified by the reviewer. An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the license. The staff may grant the license without having received a report on the applicant from the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the director of licensure and the director of legal affairs will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malpractice, substance abuse, competency, physical or mental illness, or 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issue the license administratively.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active practice in the past three years in any jurisdiction of the United States,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not engaged in active practice in the past three years in any jurisdiction of the United States, require an applicant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Issue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Issue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Deny a license. The board may deny a license for any grounds on which the board may discipline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656.4(6)</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of licensure. </w:t>
      </w:r>
      <w:r>
        <w:rPr>
          <w:rFonts w:ascii="Times New Roman" w:hAnsi="Times New Roman"/>
          <w:b w:val="false"/>
          <w:i w:val="false"/>
          <w:color w:val="000000"/>
          <w:sz w:val="22"/>
        </w:rPr>
        <w:t>The board, on the recommendation of the committee, may deny an application for licensure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requirements for licensure specified in rule </w:t>
      </w:r>
      <w:hyperlink r:id="rId20">
        <w:r>
          <w:rPr>
            <w:rStyle w:val="Hyperlink"/>
            <w:rFonts w:ascii="Times New Roman" w:hAnsi="Times New Roman"/>
            <w:b w:val="false"/>
            <w:i w:val="false"/>
            <w:color w:val="000000"/>
            <w:sz w:val="22"/>
          </w:rPr>
          <w:t>481—656.3</w:t>
        </w:r>
      </w:hyperlink>
      <w:r>
        <w:rPr>
          <w:rFonts w:ascii="Times New Roman" w:hAnsi="Times New Roman"/>
          <w:b w:val="false"/>
          <w:i w:val="false"/>
          <w:color w:val="000000"/>
          <w:sz w:val="22"/>
        </w:rPr>
        <w:t xml:space="preserve">(147,148E) as authorized by Iowa Code section </w:t>
      </w:r>
      <w:hyperlink r:id="rId21">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 xml:space="preserve"> or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2">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xml:space="preserve">, upon any of the grounds for which licensure may be revoked or suspended as specified in Iowa Code sections </w:t>
      </w:r>
      <w:hyperlink r:id="rId23">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 xml:space="preserve"> or in </w:t>
      </w:r>
      <w:hyperlink r:id="rId25">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656.4(7)</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to an applicant, the board will issue a preliminary notice of denial that will be sent to the applicant by regular, first-class mail at the address provided by the applicant. The preliminary notice of denial is a public record and cites the factual and legal basis for denying the application, notifies the applicant of the appeal process, and specifies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656.4(8)</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denial and request a hearing on the issues related to the preliminary notice of denial by serving a request for hearing upon the executive director not more than 30 calendar days following the date when the preliminary notice of denial was mailed. The applicant’s current address shall be provided in the request for hearing. The request is deemed filed on the date it is received in the board office. If the request is received with a USPS nonmetered postmark, the board will consider the postmark date as the date the request is filed. The request shall specify the factual or legal errors and that the applicant desires an evidentiary hearing and may provide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656.4(9)</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will be a contested case open to the public and conducted in accordance with </w:t>
      </w:r>
      <w:hyperlink r:id="rId2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656.4(10)</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 xml:space="preserve">If an applicant does not appeal a preliminary notice of denial in accordance with subrule </w:t>
      </w:r>
      <w:hyperlink r:id="rId27">
        <w:r>
          <w:rPr>
            <w:rStyle w:val="Hyperlink"/>
            <w:rFonts w:ascii="Times New Roman" w:hAnsi="Times New Roman"/>
            <w:b w:val="false"/>
            <w:i w:val="false"/>
            <w:color w:val="000000"/>
            <w:sz w:val="22"/>
          </w:rPr>
          <w:t>656.4(8)</w:t>
        </w:r>
      </w:hyperlink>
      <w:r>
        <w:rPr>
          <w:rFonts w:ascii="Times New Roman" w:hAnsi="Times New Roman"/>
          <w:b w:val="false"/>
          <w:i w:val="false"/>
          <w:color w:val="000000"/>
          <w:sz w:val="22"/>
        </w:rPr>
        <w:t>, the preliminary notice of denial automatically becomes final. A final denial of an application for licensure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656.4(11)</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28">
        <w:r>
          <w:rPr>
            <w:rStyle w:val="Hyperlink"/>
            <w:rFonts w:ascii="Times New Roman" w:hAnsi="Times New Roman"/>
            <w:b w:val="false"/>
            <w:i w:val="false"/>
            <w:color w:val="000000"/>
            <w:sz w:val="22"/>
          </w:rPr>
          <w:t>656.4(8)</w:t>
        </w:r>
      </w:hyperlink>
      <w:r>
        <w:rPr>
          <w:rFonts w:ascii="Times New Roman" w:hAnsi="Times New Roman"/>
          <w:b w:val="false"/>
          <w:i w:val="false"/>
          <w:color w:val="000000"/>
          <w:sz w:val="22"/>
        </w:rPr>
        <w:t xml:space="preserve"> but the applicant fails to pursue that appeal to a final decision within one year from the date of the preliminary notice of denial, the board may dismiss the appeal. The appeal may be dismissed only after the board sends a written notice by first-class mail to the applicant at the applicant’s last-known address. The notice will state that the appeal will be dismissed and the preliminary notice of denial will become final if the applicant does not contact the board to schedule the appeal hearing within 30 days of the date the letter is mailed from the board office. Upon dismissal of an appeal, the preliminary notice of denial becomes final. A final denial of an application for licensure under this rule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656.4(12)</w:t>
      </w:r>
      <w:r>
        <w:rPr>
          <w:rFonts w:ascii="Times New Roman" w:hAnsi="Times New Roman"/>
          <w:b w:val="false"/>
          <w:i w:val="false"/>
          <w:color w:val="000000"/>
          <w:sz w:val="22"/>
        </w:rPr>
        <w:t> </w:t>
      </w:r>
      <w:r>
        <w:rPr>
          <w:rFonts w:ascii="Times New Roman" w:hAnsi="Times New Roman"/>
          <w:b w:val="false"/>
          <w:i/>
          <w:color w:val="000000"/>
          <w:sz w:val="22"/>
        </w:rPr>
        <w:t xml:space="preserve">Waiver prohibited. </w:t>
      </w:r>
      <w:r>
        <w:rPr>
          <w:rFonts w:ascii="Times New Roman" w:hAnsi="Times New Roman"/>
          <w:b w:val="false"/>
          <w:i w:val="false"/>
          <w:color w:val="000000"/>
          <w:sz w:val="22"/>
        </w:rPr>
        <w:t xml:space="preserve">Provisions of this rule are not subject to waiver pursuant to   </w:t>
      </w:r>
      <w:hyperlink r:id="rId29">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481—656.5</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Biennial renewal of license required. </w:t>
      </w:r>
      <w:r>
        <w:rPr>
          <w:rFonts w:ascii="Times New Roman" w:hAnsi="Times New Roman"/>
          <w:b w:val="false"/>
          <w:i w:val="false"/>
          <w:color w:val="000000"/>
          <w:sz w:val="22"/>
        </w:rPr>
        <w:t xml:space="preserve">Pursuant to Iowa Code section </w:t>
      </w:r>
      <w:hyperlink r:id="rId30">
        <w:r>
          <w:rPr>
            <w:rStyle w:val="Hyperlink"/>
            <w:rFonts w:ascii="Times New Roman" w:hAnsi="Times New Roman"/>
            <w:b w:val="false"/>
            <w:i w:val="false"/>
            <w:color w:val="000000"/>
            <w:sz w:val="22"/>
          </w:rPr>
          <w:t>148E.2</w:t>
        </w:r>
      </w:hyperlink>
      <w:r>
        <w:rPr>
          <w:rFonts w:ascii="Times New Roman" w:hAnsi="Times New Roman"/>
          <w:b w:val="false"/>
          <w:i w:val="false"/>
          <w:color w:val="000000"/>
          <w:sz w:val="22"/>
        </w:rPr>
        <w:t xml:space="preserve">, a license expires on October 31 of even-numbered years and can be renewed for the fee identified in </w:t>
      </w:r>
      <w:hyperlink r:id="rId31">
        <w:r>
          <w:rPr>
            <w:rStyle w:val="Hyperlink"/>
            <w:rFonts w:ascii="Times New Roman" w:hAnsi="Times New Roman"/>
            <w:b w:val="false"/>
            <w:i w:val="false"/>
            <w:color w:val="000000"/>
            <w:sz w:val="22"/>
          </w:rPr>
          <w:t>481—paragraph 651.2(2)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applicant for renewal shall provide an NCCAOM certificate that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656.5(1)</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Certificates of licensure to practice acupuncture expire on October 31 in even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656.5(2)</w:t>
      </w:r>
      <w:r>
        <w:rPr>
          <w:rFonts w:ascii="Times New Roman" w:hAnsi="Times New Roman"/>
          <w:b w:val="false"/>
          <w:i w:val="false"/>
          <w:color w:val="000000"/>
          <w:sz w:val="22"/>
        </w:rPr>
        <w:t> </w:t>
      </w:r>
      <w:r>
        <w:rPr>
          <w:rFonts w:ascii="Times New Roman" w:hAnsi="Times New Roman"/>
          <w:b w:val="false"/>
          <w:i/>
          <w:color w:val="000000"/>
          <w:sz w:val="22"/>
        </w:rPr>
        <w:t xml:space="preserve">Prorated fees. </w:t>
      </w:r>
      <w:r>
        <w:rPr>
          <w:rFonts w:ascii="Times New Roman" w:hAnsi="Times New Roman"/>
          <w:b w:val="false"/>
          <w:i w:val="false"/>
          <w:color w:val="000000"/>
          <w:sz w:val="22"/>
        </w:rPr>
        <w:t>The first renewal fee for a license will be prorated on a monthly basis according to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656.5(3)</w:t>
      </w:r>
      <w:r>
        <w:rPr>
          <w:rFonts w:ascii="Times New Roman" w:hAnsi="Times New Roman"/>
          <w:b w:val="false"/>
          <w:i w:val="false"/>
          <w:color w:val="000000"/>
          <w:sz w:val="22"/>
        </w:rPr>
        <w:t> </w:t>
      </w:r>
      <w:r>
        <w:rPr>
          <w:rFonts w:ascii="Times New Roman" w:hAnsi="Times New Roman"/>
          <w:b w:val="false"/>
          <w:i/>
          <w:color w:val="000000"/>
          <w:sz w:val="22"/>
        </w:rPr>
        <w:t xml:space="preserve">Renewal requirements and penalties for late renewal. </w:t>
      </w:r>
      <w:r>
        <w:rPr>
          <w:rFonts w:ascii="Times New Roman" w:hAnsi="Times New Roman"/>
          <w:b w:val="false"/>
          <w:i w:val="false"/>
          <w:color w:val="000000"/>
          <w:sz w:val="22"/>
        </w:rPr>
        <w:t>The licensee is responsible for renewing the license prior to its expiration. Failure of the licensee to receive notice does not relieve the licensee of responsibility for renewing that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the completed renewal application, staff will administratively issue a license that expires on October 31 of even-numbered years. In the event the board receives adverse information on the renewal application, the board will issue the renewal license but may refer the adverse information for further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renewal shall be displayed in connection with the original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fails to submit the renewal application and renewal fee prior to the expiration date on the current license, a penalty stated in </w:t>
      </w:r>
      <w:hyperlink r:id="rId32">
        <w:r>
          <w:rPr>
            <w:rStyle w:val="Hyperlink"/>
            <w:rFonts w:ascii="Times New Roman" w:hAnsi="Times New Roman"/>
            <w:b w:val="false"/>
            <w:i w:val="false"/>
            <w:color w:val="000000"/>
            <w:sz w:val="22"/>
          </w:rPr>
          <w:t>481—paragraph 651.2(2)</w:t>
        </w:r>
      </w:hyperlink>
      <w:r>
        <w:rPr>
          <w:rFonts w:ascii="Times New Roman" w:hAnsi="Times New Roman"/>
          <w:b w:val="false"/>
          <w:i/>
          <w:color w:val="000000"/>
          <w:sz w:val="22"/>
        </w:rPr>
        <w:t>“g”</w:t>
      </w:r>
      <w:r>
        <w:rPr>
          <w:rFonts w:ascii="Times New Roman" w:hAnsi="Times New Roman"/>
          <w:b w:val="false"/>
          <w:i w:val="false"/>
          <w:color w:val="000000"/>
          <w:sz w:val="22"/>
        </w:rPr>
        <w:t xml:space="preserve"> will be assessed for renewal in the grace period, a period up until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656.5(4)</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Failure of a licensee to renew by January 1 will result in inactivation of the license, and the license will be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are prohibited from engaging in the practice of acupuncture with an inactive or lapsed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Having an acupuncturist license in lapsed status does not preclude the board from taking disciplinary actions authorized in Iowa Code section </w:t>
      </w:r>
      <w:hyperlink r:id="rId33">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481—656.6</w:t>
      </w:r>
      <w:r>
        <w:rPr>
          <w:rFonts w:ascii="Times New Roman" w:hAnsi="Times New Roman"/>
          <w:b/>
          <w:i w:val="false"/>
          <w:color w:val="000000"/>
          <w:sz w:val="22"/>
        </w:rPr>
        <w:t xml:space="preserve">(147,272C) </w:t>
      </w:r>
      <w:r>
        <w:rPr>
          <w:rFonts w:ascii="Times New Roman" w:hAnsi="Times New Roman"/>
          <w:b/>
          <w:i w:val="false"/>
          <w:color w:val="000000"/>
          <w:sz w:val="22"/>
        </w:rPr>
        <w:t xml:space="preserve">Reactivation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656.6(1)</w:t>
      </w:r>
      <w:r>
        <w:rPr>
          <w:rFonts w:ascii="Times New Roman" w:hAnsi="Times New Roman"/>
          <w:b w:val="false"/>
          <w:i w:val="false"/>
          <w:color w:val="000000"/>
          <w:sz w:val="22"/>
        </w:rPr>
        <w:t> </w:t>
      </w:r>
      <w:r>
        <w:rPr>
          <w:rFonts w:ascii="Times New Roman" w:hAnsi="Times New Roman"/>
          <w:b w:val="false"/>
          <w:i/>
          <w:color w:val="000000"/>
          <w:sz w:val="22"/>
        </w:rPr>
        <w:t xml:space="preserve">Reactivation requirements. </w:t>
      </w:r>
      <w:r>
        <w:rPr>
          <w:rFonts w:ascii="Times New Roman" w:hAnsi="Times New Roman"/>
          <w:b w:val="false"/>
          <w:i w:val="false"/>
          <w:color w:val="000000"/>
          <w:sz w:val="22"/>
        </w:rPr>
        <w:t xml:space="preserve">Licensees who allow their licenses to go inactive by failing to renew may apply for reactivation of a license. Pursuant to Iowa Code section </w:t>
      </w:r>
      <w:hyperlink r:id="rId35">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applicants for reactivation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completed application for reactivation of a license to practice acupuncture. The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Full disclosure of the applicant’s involvement in civil litigation related to the practice of acupuncture in any jurisdiction of the United States, other nations or territories.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acupuncture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Verification of an applicant’s hospital and clinical staff privileges and other professional experience for the past five years if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fingerprint packet to facilitate a national criminal history background check. The fee identified in </w:t>
      </w:r>
      <w:hyperlink r:id="rId36">
        <w:r>
          <w:rPr>
            <w:rStyle w:val="Hyperlink"/>
            <w:rFonts w:ascii="Times New Roman" w:hAnsi="Times New Roman"/>
            <w:b w:val="false"/>
            <w:i w:val="false"/>
            <w:color w:val="000000"/>
            <w:sz w:val="22"/>
          </w:rPr>
          <w:t>481—subrule 651.2(5)</w:t>
        </w:r>
      </w:hyperlink>
      <w:r>
        <w:rPr>
          <w:rFonts w:ascii="Times New Roman" w:hAnsi="Times New Roman"/>
          <w:b w:val="false"/>
          <w:i w:val="false"/>
          <w:color w:val="000000"/>
          <w:sz w:val="22"/>
        </w:rPr>
        <w:t xml:space="preserv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identified in rule </w:t>
      </w:r>
      <w:hyperlink r:id="rId37">
        <w:r>
          <w:rPr>
            <w:rStyle w:val="Hyperlink"/>
            <w:rFonts w:ascii="Times New Roman" w:hAnsi="Times New Roman"/>
            <w:b w:val="false"/>
            <w:i w:val="false"/>
            <w:color w:val="000000"/>
            <w:sz w:val="22"/>
          </w:rPr>
          <w:t>481—651.2</w:t>
        </w:r>
      </w:hyperlink>
      <w:r>
        <w:rPr>
          <w:rFonts w:ascii="Times New Roman" w:hAnsi="Times New Roman"/>
          <w:b w:val="false"/>
          <w:i w:val="false"/>
          <w:color w:val="000000"/>
          <w:sz w:val="22"/>
        </w:rPr>
        <w:t xml:space="preserve">(147,148,272C) plus the fee identified in </w:t>
      </w:r>
      <w:hyperlink r:id="rId38">
        <w:r>
          <w:rPr>
            <w:rStyle w:val="Hyperlink"/>
            <w:rFonts w:ascii="Times New Roman" w:hAnsi="Times New Roman"/>
            <w:b w:val="false"/>
            <w:i w:val="false"/>
            <w:color w:val="000000"/>
            <w:sz w:val="22"/>
          </w:rPr>
          <w:t>481—subrule 651.2(5)</w:t>
        </w:r>
      </w:hyperlink>
      <w:r>
        <w:rPr>
          <w:rFonts w:ascii="Times New Roman" w:hAnsi="Times New Roman"/>
          <w:b w:val="false"/>
          <w:i w:val="false"/>
          <w:color w:val="000000"/>
          <w:sz w:val="22"/>
        </w:rPr>
        <w:t xml:space="preserv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an NCCAOM certificate which demonstrates that the applicant holds current active status as a diplomate in acupuncture or oriental medicine from the NCCAOM.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 any new requirements instituted since the license 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656.6(2)</w:t>
      </w:r>
      <w:r>
        <w:rPr>
          <w:rFonts w:ascii="Times New Roman" w:hAnsi="Times New Roman"/>
          <w:b w:val="false"/>
          <w:i w:val="false"/>
          <w:color w:val="000000"/>
          <w:sz w:val="22"/>
        </w:rPr>
        <w:t> </w:t>
      </w:r>
      <w:r>
        <w:rPr>
          <w:rFonts w:ascii="Times New Roman" w:hAnsi="Times New Roman"/>
          <w:b w:val="false"/>
          <w:i/>
          <w:color w:val="000000"/>
          <w:sz w:val="22"/>
        </w:rPr>
        <w:t xml:space="preserve">Reactivation restrictions. </w:t>
      </w:r>
      <w:r>
        <w:rPr>
          <w:rFonts w:ascii="Times New Roman" w:hAnsi="Times New Roman"/>
          <w:b w:val="false"/>
          <w:i w:val="false"/>
          <w:color w:val="000000"/>
          <w:sz w:val="22"/>
        </w:rPr>
        <w:t xml:space="preserve">Pursuant to Iowa Code section </w:t>
      </w:r>
      <w:hyperlink r:id="rId39">
        <w:r>
          <w:rPr>
            <w:rStyle w:val="Hyperlink"/>
            <w:rFonts w:ascii="Times New Roman" w:hAnsi="Times New Roman"/>
            <w:b w:val="false"/>
            <w:i w:val="false"/>
            <w:color w:val="000000"/>
            <w:sz w:val="22"/>
          </w:rPr>
          <w:t>272C.3(2)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committee may require an applicant who has not engaged in active practice in the past three years in any jurisdiction of the United States to meet any or all of the following requirements prior to reactivation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Successfully complete continuing education or retraining programs in areas directly related to the safe and healthful practice of acupuncture deemed appropriate by the board or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pass a competency evaluation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Successfully pass an examination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reentry to practice program or monitoring program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481—656.7</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 xml:space="preserve">Licensees shall demonstrate that they hold current active status as a diplomate from the NCCAOM. The NCCAOM requires 60 points of professional development activity every four years. Active NCCAOM certification satisfies the continuing education requirements established in Iowa Code section </w:t>
      </w:r>
      <w:hyperlink r:id="rId40">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481—656.8</w:t>
      </w:r>
      <w:r>
        <w:rPr>
          <w:rFonts w:ascii="Times New Roman" w:hAnsi="Times New Roman"/>
          <w:b/>
          <w:i w:val="false"/>
          <w:color w:val="000000"/>
          <w:sz w:val="22"/>
        </w:rPr>
        <w:t xml:space="preserve">(147,148E,272C)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656.8(1)</w:t>
      </w:r>
      <w:r>
        <w:rPr>
          <w:rFonts w:ascii="Times New Roman" w:hAnsi="Times New Roman"/>
          <w:b w:val="false"/>
          <w:i w:val="false"/>
          <w:color w:val="000000"/>
          <w:sz w:val="22"/>
        </w:rPr>
        <w:t> </w:t>
      </w:r>
      <w:r>
        <w:rPr>
          <w:rFonts w:ascii="Times New Roman" w:hAnsi="Times New Roman"/>
          <w:b w:val="false"/>
          <w:i/>
          <w:color w:val="000000"/>
          <w:sz w:val="22"/>
        </w:rPr>
        <w:t xml:space="preserve">Diagnostic and treatment modalities. </w:t>
      </w:r>
      <w:r>
        <w:rPr>
          <w:rFonts w:ascii="Times New Roman" w:hAnsi="Times New Roman"/>
          <w:b w:val="false"/>
          <w:i w:val="false"/>
          <w:color w:val="000000"/>
          <w:sz w:val="22"/>
        </w:rPr>
        <w:t>Diagnostic and treatment modalities used by licensees under this chapter may include one or more of the following acupunctural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stimulation or piercing of the skin with an acupuncture needle for any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evoke a therapeutic physiological response, either locally or distally to the area of insertion or stimulation.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relieve pain or treat the neuromusculoskeletal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stimulate ashi acupuncture points to relieve pain and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promote, maintain, and restore health and to prevent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stimulate the body according to auricular, hand, nose, face, foot or scalp acupuncture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use acupuncture needles with or without the use of herbs, electric current, or application of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oriental medical diagnosis and treatment,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Moxibustion, cupping, thermal methods, magnets, gua sha scraping techniques, acupatches, herbal poultices, hot and cold packs, electromagnetic wave therapy, light and color therapy, sound therapy, or therapy lasers.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Massage, acupressure, reflexology, shiatsu and tui na massage, or manual stimulation, including stimulation by an instrument or mechanical device that does not pierce the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Herbal medicine and dietary supplements, including those of plant, mineral, animal, and nutraceutical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adjunctive service or procedure that is clinically appropriate based on the licensee’s training as approved by NCCAOM or ACAOM.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656.8(2)</w:t>
      </w:r>
      <w:r>
        <w:rPr>
          <w:rFonts w:ascii="Times New Roman" w:hAnsi="Times New Roman"/>
          <w:b w:val="false"/>
          <w:i w:val="false"/>
          <w:color w:val="000000"/>
          <w:sz w:val="22"/>
        </w:rPr>
        <w:t> </w:t>
      </w:r>
      <w:r>
        <w:rPr>
          <w:rFonts w:ascii="Times New Roman" w:hAnsi="Times New Roman"/>
          <w:b w:val="false"/>
          <w:i/>
          <w:color w:val="000000"/>
          <w:sz w:val="22"/>
        </w:rPr>
        <w:t xml:space="preserve">Use and disposal of needles. </w:t>
      </w:r>
      <w:r>
        <w:rPr>
          <w:rFonts w:ascii="Times New Roman" w:hAnsi="Times New Roman"/>
          <w:b w:val="false"/>
          <w:i w:val="false"/>
          <w:color w:val="000000"/>
          <w:sz w:val="22"/>
        </w:rPr>
        <w:t>A licensee shall use only presterilized, disposable needles and shall provide for the disposal of used needles in accordance with the requirements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r>
        <w:rPr>
          <w:rFonts w:ascii="Times New Roman" w:hAnsi="Times New Roman"/>
          <w:b w:val="false"/>
          <w:i w:val="false"/>
          <w:color w:val="000000"/>
          <w:sz w:val="22"/>
        </w:rPr>
        <w:t xml:space="preserve">A licensee shall be held to the same standard of care as persons licensed to practice medicine and surgery or osteopathic medicine and surgery. Pursuant to Iowa Code section </w:t>
      </w:r>
      <w:hyperlink r:id="rId41">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any error or omission, unreasonable lack of skill, or failure to maintain a reasonable standard of care in the practice of acupuncture constitutes malpractice and is grounds for the revocation or suspension of a license to practice acupuncture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656.8(4)</w:t>
      </w:r>
      <w:r>
        <w:rPr>
          <w:rFonts w:ascii="Times New Roman" w:hAnsi="Times New Roman"/>
          <w:b w:val="false"/>
          <w:i w:val="false"/>
          <w:color w:val="000000"/>
          <w:sz w:val="22"/>
        </w:rPr>
        <w:t> </w:t>
      </w:r>
      <w:r>
        <w:rPr>
          <w:rFonts w:ascii="Times New Roman" w:hAnsi="Times New Roman"/>
          <w:b w:val="false"/>
          <w:i/>
          <w:color w:val="000000"/>
          <w:sz w:val="22"/>
        </w:rPr>
        <w:t xml:space="preserve">Title. </w:t>
      </w:r>
      <w:r>
        <w:rPr>
          <w:rFonts w:ascii="Times New Roman" w:hAnsi="Times New Roman"/>
          <w:b w:val="false"/>
          <w:i w:val="false"/>
          <w:color w:val="000000"/>
          <w:sz w:val="22"/>
        </w:rPr>
        <w:t xml:space="preserve">An acupuncturist licensed under this title may use the words “licensed acupuncturist” or “L.Ac.” to connote professional standing after the licensee’s name in accordance with Iowa Code section </w:t>
      </w:r>
      <w:hyperlink r:id="rId42">
        <w:r>
          <w:rPr>
            <w:rStyle w:val="Hyperlink"/>
            <w:rFonts w:ascii="Times New Roman" w:hAnsi="Times New Roman"/>
            <w:b w:val="false"/>
            <w:i w:val="false"/>
            <w:color w:val="000000"/>
            <w:sz w:val="22"/>
          </w:rPr>
          <w:t>147.74(18)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656.8(5)</w:t>
      </w:r>
      <w:r>
        <w:rPr>
          <w:rFonts w:ascii="Times New Roman" w:hAnsi="Times New Roman"/>
          <w:b w:val="false"/>
          <w:i w:val="false"/>
          <w:color w:val="000000"/>
          <w:sz w:val="22"/>
        </w:rPr>
        <w:t> </w:t>
      </w:r>
      <w:r>
        <w:rPr>
          <w:rFonts w:ascii="Times New Roman" w:hAnsi="Times New Roman"/>
          <w:b w:val="false"/>
          <w:i/>
          <w:color w:val="000000"/>
          <w:sz w:val="22"/>
        </w:rPr>
        <w:t xml:space="preserve">Change of contact information. </w:t>
      </w:r>
      <w:r>
        <w:rPr>
          <w:rFonts w:ascii="Times New Roman" w:hAnsi="Times New Roman"/>
          <w:b w:val="false"/>
          <w:i w:val="false"/>
          <w:color w:val="000000"/>
          <w:sz w:val="22"/>
        </w:rPr>
        <w:t>Licensees shall notify the board of changes in home address, address of the place of practice, home or practice telephone number, or personal email address regularly used by the applicant or licensee for correspondence with the board within one month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656.8(6)</w:t>
      </w:r>
      <w:r>
        <w:rPr>
          <w:rFonts w:ascii="Times New Roman" w:hAnsi="Times New Roman"/>
          <w:b w:val="false"/>
          <w:i w:val="false"/>
          <w:color w:val="000000"/>
          <w:sz w:val="22"/>
        </w:rPr>
        <w:t> </w:t>
      </w:r>
      <w:r>
        <w:rPr>
          <w:rFonts w:ascii="Times New Roman" w:hAnsi="Times New Roman"/>
          <w:b w:val="false"/>
          <w:i/>
          <w:color w:val="000000"/>
          <w:sz w:val="22"/>
        </w:rPr>
        <w:t xml:space="preserve">Delegation of responsibilities. </w:t>
      </w:r>
      <w:r>
        <w:rPr>
          <w:rFonts w:ascii="Times New Roman" w:hAnsi="Times New Roman"/>
          <w:b w:val="false"/>
          <w:i w:val="false"/>
          <w:color w:val="000000"/>
          <w:sz w:val="22"/>
        </w:rPr>
        <w:t>A licensee shall perform all aspects of acupuncture treatment that involve penetration of the skin of a patient. The licensee may delegate other aspects of treatment to staff and patients who are properly trained by the licensee. It is permissible for appropriately trained staff and patients to remove acupuncture needles from the patient’s body. The licensee is responsible for establishing and maintaining written training standards for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656.8(7)</w:t>
      </w:r>
      <w:r>
        <w:rPr>
          <w:rFonts w:ascii="Times New Roman" w:hAnsi="Times New Roman"/>
          <w:b w:val="false"/>
          <w:i w:val="false"/>
          <w:color w:val="000000"/>
          <w:sz w:val="22"/>
        </w:rPr>
        <w:t> </w:t>
      </w:r>
      <w:r>
        <w:rPr>
          <w:rFonts w:ascii="Times New Roman" w:hAnsi="Times New Roman"/>
          <w:b w:val="false"/>
          <w:i/>
          <w:color w:val="000000"/>
          <w:sz w:val="22"/>
        </w:rPr>
        <w:t xml:space="preserve">Change of full legal name. </w:t>
      </w:r>
      <w:r>
        <w:rPr>
          <w:rFonts w:ascii="Times New Roman" w:hAnsi="Times New Roman"/>
          <w:b w:val="false"/>
          <w:i w:val="false"/>
          <w:color w:val="000000"/>
          <w:sz w:val="22"/>
        </w:rPr>
        <w:t>A licensee shall notify the board of any change in the licensee’s full legal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656.8(8)</w:t>
      </w:r>
      <w:r>
        <w:rPr>
          <w:rFonts w:ascii="Times New Roman" w:hAnsi="Times New Roman"/>
          <w:b w:val="false"/>
          <w:i w:val="false"/>
          <w:color w:val="000000"/>
          <w:sz w:val="22"/>
        </w:rPr>
        <w:t> </w:t>
      </w:r>
      <w:r>
        <w:rPr>
          <w:rFonts w:ascii="Times New Roman" w:hAnsi="Times New Roman"/>
          <w:b w:val="false"/>
          <w:i/>
          <w:color w:val="000000"/>
          <w:sz w:val="22"/>
        </w:rPr>
        <w:t xml:space="preserve">Deceased. </w:t>
      </w:r>
      <w:r>
        <w:rPr>
          <w:rFonts w:ascii="Times New Roman" w:hAnsi="Times New Roman"/>
          <w:b w:val="false"/>
          <w:i w:val="false"/>
          <w:color w:val="000000"/>
          <w:sz w:val="22"/>
        </w:rPr>
        <w:t>A licensee’s file will be closed and labeled “deceased” when the board receives a copy of the licensee’s death certificate or other reliable information of the licensee’s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3">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and sections </w:t>
      </w:r>
      <w:hyperlink r:id="rId44">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45">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through </w:t>
      </w:r>
      <w:hyperlink r:id="rId48">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1/10/94, Notice 11/24/93—published 2/2/94, effective 3/9/94]</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emergency 8/3/00 after Notice 6/28/00—published 8/23/00, effective 8/3/00]</w:t>
      </w:r>
    </w:p>
    <w:p>
      <w:pPr>
        <w:spacing w:before="0" w:after="0"/>
        <w:ind w:left="120"/>
        <w:jc w:val="center"/>
      </w:pPr>
      <w:r>
        <w:rPr>
          <w:rFonts w:ascii="Times New Roman" w:hAnsi="Times New Roman"/>
          <w:b w:val="false"/>
          <w:i w:val="false"/>
          <w:color w:val="000000"/>
          <w:sz w:val="21"/>
        </w:rPr>
        <w:t>[Filed 12/1/00, Notice 10/18/00—published 12/27/00, effective 1/31/01]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3/14/02, Notice 1/23/02—published 4/3/02, effective 5/8/02]</w:t>
      </w:r>
    </w:p>
    <w:p>
      <w:pPr>
        <w:spacing w:before="0" w:after="0"/>
        <w:ind w:left="120"/>
        <w:jc w:val="center"/>
      </w:pPr>
      <w:r>
        <w:rPr>
          <w:rFonts w:ascii="Times New Roman" w:hAnsi="Times New Roman"/>
          <w:b w:val="false"/>
          <w:i w:val="false"/>
          <w:color w:val="000000"/>
          <w:sz w:val="21"/>
        </w:rPr>
        <w:t>[Filed 10/10/02, Notice 7/10/02—published 10/30/02, effective 12/4/02]</w:t>
      </w:r>
    </w:p>
    <w:p>
      <w:pPr>
        <w:spacing w:before="0" w:after="0"/>
        <w:ind w:left="120"/>
        <w:jc w:val="center"/>
      </w:pPr>
      <w:r>
        <w:rPr>
          <w:rFonts w:ascii="Times New Roman" w:hAnsi="Times New Roman"/>
          <w:b w:val="false"/>
          <w:i w:val="false"/>
          <w:color w:val="000000"/>
          <w:sz w:val="21"/>
        </w:rPr>
        <w:t>[Filed 2/2/04, Notice 12/24/03—published 3/3/04, effective 4/7/04]</w:t>
      </w:r>
    </w:p>
    <w:p>
      <w:pPr>
        <w:spacing w:before="0" w:after="0"/>
        <w:ind w:left="120"/>
        <w:jc w:val="center"/>
      </w:pPr>
      <w:r>
        <w:rPr>
          <w:rFonts w:ascii="Times New Roman" w:hAnsi="Times New Roman"/>
          <w:b w:val="false"/>
          <w:i w:val="false"/>
          <w:color w:val="000000"/>
          <w:sz w:val="21"/>
        </w:rPr>
        <w:t>[Filed 11/5/04, Notice 9/29/04—published 11/24/04, effective 12/29/04]</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8707B</w:t>
      </w:r>
      <w:r>
        <w:rPr>
          <w:rFonts w:ascii="Times New Roman" w:hAnsi="Times New Roman"/>
          <w:b w:val="false"/>
          <w:i w:val="false"/>
          <w:color w:val="000000"/>
          <w:sz w:val="21"/>
        </w:rPr>
        <w:t xml:space="preserve"> (Notice ARC 8524B, IAB 2/10/10)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2950C</w:t>
      </w:r>
      <w:r>
        <w:rPr>
          <w:rFonts w:ascii="Times New Roman" w:hAnsi="Times New Roman"/>
          <w:b w:val="false"/>
          <w:i w:val="false"/>
          <w:color w:val="000000"/>
          <w:sz w:val="21"/>
        </w:rPr>
        <w:t xml:space="preserve"> (Notice ARC 2860C, IAB 12/7/16)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9116C</w:t>
      </w:r>
      <w:r>
        <w:rPr>
          <w:rFonts w:ascii="Times New Roman" w:hAnsi="Times New Roman"/>
          <w:b w:val="false"/>
          <w:i w:val="false"/>
          <w:color w:val="000000"/>
          <w:sz w:val="21"/>
        </w:rPr>
        <w:t xml:space="preserve"> (Notice ARC 8702C,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[Filed ARC 0465D</w:t>
      </w:r>
      <w:r>
        <w:rPr>
          <w:rFonts w:ascii="Times New Roman" w:hAnsi="Times New Roman"/>
          <w:b w:val="false"/>
          <w:i w:val="false"/>
          <w:color w:val="000000"/>
          <w:sz w:val="21"/>
        </w:rPr>
        <w:t xml:space="preserve"> (Notice ARC 0202D, IAB 4/15/26)</w:t>
      </w:r>
      <w:r>
        <w:rPr>
          <w:rFonts w:ascii="Times New Roman" w:hAnsi="Times New Roman"/>
          <w:b w:val="false"/>
          <w:i w:val="false"/>
          <w:color w:val="000000"/>
          <w:sz w:val="21"/>
        </w:rPr>
        <w:t>, IAB 8/5/26, effective 9/9/26]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5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E.pdf" Type="http://schemas.openxmlformats.org/officeDocument/2006/relationships/hyperlink" Id="rId5"/>
    <Relationship TargetMode="External" Target="https://www.legis.iowa.gov/docs/ico/chapter/148E.3.pdf" Type="http://schemas.openxmlformats.org/officeDocument/2006/relationships/hyperlink" Id="rId6"/>
    <Relationship TargetMode="External" Target="https://www.legis.iowa.gov/docs/ico/chapter/148E.1.pdf" Type="http://schemas.openxmlformats.org/officeDocument/2006/relationships/hyperlink" Id="rId7"/>
    <Relationship TargetMode="External" Target="https://www.legis.iowa.gov/docs/ico/chapter/148E.3.pdf" Type="http://schemas.openxmlformats.org/officeDocument/2006/relationships/hyperlink" Id="rId8"/>
    <Relationship TargetMode="External" Target="https://www.legis.iowa.gov/docs/ico/chapter/148E.5.pdf" Type="http://schemas.openxmlformats.org/officeDocument/2006/relationships/hyperlink" Id="rId9"/>
    <Relationship TargetMode="External" Target="https://www.legis.iowa.gov/docs/ico/chapter/148E.2.pdf" Type="http://schemas.openxmlformats.org/officeDocument/2006/relationships/hyperlink" Id="rId10"/>
    <Relationship TargetMode="External" Target="https://www.legis.iowa.gov/docs/ico/chapter/148E.pdf" Type="http://schemas.openxmlformats.org/officeDocument/2006/relationships/hyperlink" Id="rId11"/>
    <Relationship TargetMode="External" Target="https://www.legis.iowa.gov/docs/iac/rule/481.656.4.pdf" Type="http://schemas.openxmlformats.org/officeDocument/2006/relationships/hyperlink" Id="rId12"/>
    <Relationship TargetMode="External" Target="https://www.legis.iowa.gov/docs/iac/rule/481.652.3.pdf" Type="http://schemas.openxmlformats.org/officeDocument/2006/relationships/hyperlink" Id="rId13"/>
    <Relationship TargetMode="External" Target="https://www.legis.iowa.gov/docs/iac/chapter/7.2504.pdf" Type="http://schemas.openxmlformats.org/officeDocument/2006/relationships/hyperlink" Id="rId14"/>
    <Relationship TargetMode="External" Target="https://www.legis.iowa.gov/docs/iac/rule/481.651.2.pdf" Type="http://schemas.openxmlformats.org/officeDocument/2006/relationships/hyperlink" Id="rId15"/>
    <Relationship TargetMode="External" Target="https://www.legis.iowa.gov/docs/iac/rule/481.651.2.pdf" Type="http://schemas.openxmlformats.org/officeDocument/2006/relationships/hyperlink" Id="rId16"/>
    <Relationship TargetMode="External" Target="https://www.legis.iowa.gov/docs/iac/rule/481.651.2.pdf" Type="http://schemas.openxmlformats.org/officeDocument/2006/relationships/hyperlink" Id="rId17"/>
    <Relationship TargetMode="External" Target="https://www.legis.iowa.gov/docs/iac/rule/653.656.4.pdf" Type="http://schemas.openxmlformats.org/officeDocument/2006/relationships/hyperlink" Id="rId18"/>
    <Relationship TargetMode="External" Target="https://www.legis.iowa.gov/docs/iac/rule/653.656.4.pdf" Type="http://schemas.openxmlformats.org/officeDocument/2006/relationships/hyperlink" Id="rId19"/>
    <Relationship TargetMode="External" Target="https://www.legis.iowa.gov/docs/iac/rule/481.656.3.pdf" Type="http://schemas.openxmlformats.org/officeDocument/2006/relationships/hyperlink" Id="rId20"/>
    <Relationship TargetMode="External" Target="https://www.legis.iowa.gov/docs/ico/chapter/148E.2.pdf" Type="http://schemas.openxmlformats.org/officeDocument/2006/relationships/hyperlink" Id="rId21"/>
    <Relationship TargetMode="External" Target="https://www.legis.iowa.gov/docs/ico/chapter/147.4.pdf" Type="http://schemas.openxmlformats.org/officeDocument/2006/relationships/hyperlink" Id="rId22"/>
    <Relationship TargetMode="External" Target="https://www.legis.iowa.gov/docs/ico/chapter/147.55.pdf" Type="http://schemas.openxmlformats.org/officeDocument/2006/relationships/hyperlink" Id="rId23"/>
    <Relationship TargetMode="External" Target="https://www.legis.iowa.gov/docs/ico/chapter/148E.8.pdf" Type="http://schemas.openxmlformats.org/officeDocument/2006/relationships/hyperlink" Id="rId24"/>
    <Relationship TargetMode="External" Target="https://www.legis.iowa.gov/docs/iac/chapter/481.8.pdf" Type="http://schemas.openxmlformats.org/officeDocument/2006/relationships/hyperlink" Id="rId25"/>
    <Relationship TargetMode="External" Target="https://www.legis.iowa.gov/docs/iac/chapter/481.506.pdf" Type="http://schemas.openxmlformats.org/officeDocument/2006/relationships/hyperlink" Id="rId26"/>
    <Relationship TargetMode="External" Target="https://www.legis.iowa.gov/docs/iac/rule/653.656.4.pdf" Type="http://schemas.openxmlformats.org/officeDocument/2006/relationships/hyperlink" Id="rId27"/>
    <Relationship TargetMode="External" Target="https://www.legis.iowa.gov/docs/iac/rule/653.656.4.pdf" Type="http://schemas.openxmlformats.org/officeDocument/2006/relationships/hyperlink" Id="rId28"/>
    <Relationship TargetMode="External" Target="https://www.legis.iowa.gov/docs/iac/chapter/7.2504.pdf" Type="http://schemas.openxmlformats.org/officeDocument/2006/relationships/hyperlink" Id="rId29"/>
    <Relationship TargetMode="External" Target="https://www.legis.iowa.gov/docs/ico/chapter/148E.2.pdf" Type="http://schemas.openxmlformats.org/officeDocument/2006/relationships/hyperlink" Id="rId30"/>
    <Relationship TargetMode="External" Target="https://www.legis.iowa.gov/docs/iac/rule/481.651.2.pdf" Type="http://schemas.openxmlformats.org/officeDocument/2006/relationships/hyperlink" Id="rId31"/>
    <Relationship TargetMode="External" Target="https://www.legis.iowa.gov/docs/iac/rule/481.651.2.pdf" Type="http://schemas.openxmlformats.org/officeDocument/2006/relationships/hyperlink" Id="rId32"/>
    <Relationship TargetMode="External" Target="https://www.legis.iowa.gov/docs/ico/chapter/147.55.pdf" Type="http://schemas.openxmlformats.org/officeDocument/2006/relationships/hyperlink" Id="rId33"/>
    <Relationship TargetMode="External" Target="https://www.legis.iowa.gov/docs/ico/chapter/148E.8.pdf" Type="http://schemas.openxmlformats.org/officeDocument/2006/relationships/hyperlink" Id="rId34"/>
    <Relationship TargetMode="External" Target="https://www.legis.iowa.gov/docs/ico/chapter/147.11.pdf" Type="http://schemas.openxmlformats.org/officeDocument/2006/relationships/hyperlink" Id="rId35"/>
    <Relationship TargetMode="External" Target="https://www.legis.iowa.gov/docs/iac/rule/481.651.2.pdf" Type="http://schemas.openxmlformats.org/officeDocument/2006/relationships/hyperlink" Id="rId36"/>
    <Relationship TargetMode="External" Target="https://www.legis.iowa.gov/docs/iac/rule/481.651.2.pdf" Type="http://schemas.openxmlformats.org/officeDocument/2006/relationships/hyperlink" Id="rId37"/>
    <Relationship TargetMode="External" Target="https://www.legis.iowa.gov/docs/iac/rule/481.651.2.pdf" Type="http://schemas.openxmlformats.org/officeDocument/2006/relationships/hyperlink" Id="rId38"/>
    <Relationship TargetMode="External" Target="https://www.legis.iowa.gov/docs/ico/chapter/272C.3.pdf" Type="http://schemas.openxmlformats.org/officeDocument/2006/relationships/hyperlink" Id="rId39"/>
    <Relationship TargetMode="External" Target="https://www.legis.iowa.gov/docs/ico/chapter/272C.2.pdf" Type="http://schemas.openxmlformats.org/officeDocument/2006/relationships/hyperlink" Id="rId40"/>
    <Relationship TargetMode="External" Target="https://www.legis.iowa.gov/docs/ico/chapter/272C.3.pdf" Type="http://schemas.openxmlformats.org/officeDocument/2006/relationships/hyperlink" Id="rId41"/>
    <Relationship TargetMode="External" Target="https://www.legis.iowa.gov/docs/ico/chapter/147.74.pdf" Type="http://schemas.openxmlformats.org/officeDocument/2006/relationships/hyperlink" Id="rId42"/>
    <Relationship TargetMode="External" Target="https://www.legis.iowa.gov/docs/ico/chapter/148E.pdf" Type="http://schemas.openxmlformats.org/officeDocument/2006/relationships/hyperlink" Id="rId43"/>
    <Relationship TargetMode="External" Target="https://www.legis.iowa.gov/docs/ico/chapter/17A.10.pdf" Type="http://schemas.openxmlformats.org/officeDocument/2006/relationships/hyperlink" Id="rId44"/>
    <Relationship TargetMode="External" Target="https://www.legis.iowa.gov/docs/ico/chapter/17A.20.pdf" Type="http://schemas.openxmlformats.org/officeDocument/2006/relationships/hyperlink" Id="rId45"/>
    <Relationship TargetMode="External" Target="https://www.legis.iowa.gov/docs/ico/chapter/147.55.pdf" Type="http://schemas.openxmlformats.org/officeDocument/2006/relationships/hyperlink" Id="rId46"/>
    <Relationship TargetMode="External" Target="https://www.legis.iowa.gov/docs/ico/chapter/272C.3.pdf" Type="http://schemas.openxmlformats.org/officeDocument/2006/relationships/hyperlink" Id="rId47"/>
    <Relationship TargetMode="External" Target="https://www.legis.iowa.gov/docs/ico/chapter/272C.6.pdf" Type="http://schemas.openxmlformats.org/officeDocument/2006/relationships/hyperlink" Id="rId48"/>
    <Relationship TargetMode="External" Target="https://www.legis.iowa.gov/docs/ico/chapter/272C.8.pdf" Type="http://schemas.openxmlformats.org/officeDocument/2006/relationships/hyperlink" Id="rId49"/>
    <Relationship TargetMode="External" Target="https://www.legis.iowa.gov/docs/ico/chapter/272C.9.pdf" Type="http://schemas.openxmlformats.org/officeDocument/2006/relationships/hyperlink" Id="rId50"/>
    <Relationship Target="footer.xml" Type="http://schemas.openxmlformats.org/officeDocument/2006/relationships/footer"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