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BOARD OF MEDICINE</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650</w:t>
      </w:r>
    </w:p>
    <w:p>
      <w:pPr>
        <w:spacing w:before="0" w:after="0"/>
        <w:ind w:left="120"/>
        <w:jc w:val="center"/>
      </w:pPr>
      <w:r>
        <w:rPr>
          <w:rFonts w:ascii="Times New Roman" w:hAnsi="Times New Roman"/>
          <w:b w:val="false"/>
          <w:i w:val="false"/>
          <w:color w:val="000000"/>
          <w:sz w:val="21"/>
        </w:rPr>
        <w:t>ADMINISTRATIVE AND REGULATORY AUTHORITY</w:t>
      </w:r>
    </w:p>
    <w:p>
      <w:pPr>
        <w:spacing w:before="0" w:after="0"/>
        <w:ind w:left="120"/>
        <w:jc w:val="center"/>
      </w:pPr>
      <w:r>
        <w:rPr>
          <w:rFonts w:ascii="Times New Roman" w:hAnsi="Times New Roman"/>
          <w:b w:val="false"/>
          <w:i w:val="false"/>
          <w:color w:val="000000"/>
          <w:sz w:val="20"/>
        </w:rPr>
        <w:t>[Prior to 5/4/88, see 470—135.1 through 135.10]</w:t>
      </w:r>
    </w:p>
    <w:p>
      <w:pPr>
        <w:spacing w:before="0" w:after="0"/>
        <w:ind w:left="120"/>
        <w:jc w:val="center"/>
      </w:pPr>
      <w:r>
        <w:rPr>
          <w:rFonts w:ascii="Times New Roman" w:hAnsi="Times New Roman"/>
          <w:b w:val="false"/>
          <w:i w:val="false"/>
          <w:color w:val="000000"/>
          <w:sz w:val="20"/>
        </w:rPr>
        <w:t>[Prior to 6/11/25, see Medicine Board[653] 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5/21/30</w:t>
      </w:r>
    </w:p>
    <w:p>
      <w:pPr>
        <w:spacing w:before="0" w:after="0"/>
        <w:ind w:left="120"/>
        <w:jc w:val="both"/>
      </w:pPr>
      <w:r>
        <w:rPr>
          <w:rFonts w:ascii="Times New Roman" w:hAnsi="Times New Roman"/>
          <w:b/>
          <w:i w:val="false"/>
          <w:color w:val="000000"/>
          <w:sz w:val="22"/>
        </w:rPr>
        <w:t>481—650.1</w:t>
      </w:r>
      <w:r>
        <w:rPr>
          <w:rFonts w:ascii="Times New Roman" w:hAnsi="Times New Roman"/>
          <w:b/>
          <w:i w:val="false"/>
          <w:color w:val="000000"/>
          <w:sz w:val="22"/>
        </w:rPr>
        <w:t xml:space="preserve">(17A,147)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are applicable to the rules of the board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“Acupuncture”</w:t>
      </w:r>
      <w:r>
        <w:rPr>
          <w:rFonts w:ascii="Times New Roman" w:hAnsi="Times New Roman"/>
          <w:b w:val="false"/>
          <w:i w:val="false"/>
          <w:color w:val="000000"/>
          <w:sz w:val="22"/>
        </w:rPr>
        <w:t> </w:t>
      </w:r>
      <w:r>
        <w:rPr>
          <w:rFonts w:ascii="Times New Roman" w:hAnsi="Times New Roman"/>
          <w:b w:val="false"/>
          <w:i w:val="false"/>
          <w:color w:val="000000"/>
          <w:sz w:val="22"/>
        </w:rPr>
        <w:t>means a form of health care developed from traditional and modern oriental medical concepts that employs oriental medical diagnosis and treatment, and adjunctive therapies and diagnostic techniques, for the promotion, maintenance, and restoration of health and the prevention of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“Acupuncturist”</w:t>
      </w:r>
      <w:r>
        <w:rPr>
          <w:rFonts w:ascii="Times New Roman" w:hAnsi="Times New Roman"/>
          <w:b w:val="false"/>
          <w:i w:val="false"/>
          <w:color w:val="000000"/>
          <w:sz w:val="22"/>
        </w:rPr>
        <w:t> </w:t>
      </w:r>
      <w:r>
        <w:rPr>
          <w:rFonts w:ascii="Times New Roman" w:hAnsi="Times New Roman"/>
          <w:b w:val="false"/>
          <w:i w:val="false"/>
          <w:color w:val="000000"/>
          <w:sz w:val="22"/>
        </w:rPr>
        <w:t>means a person licensed to practice acupuncture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“Alternate member”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is qualified under Iowa Code section </w:t>
      </w:r>
      <w:hyperlink r:id="rId5">
        <w:r>
          <w:rPr>
            <w:rStyle w:val="Hyperlink"/>
            <w:rFonts w:ascii="Times New Roman" w:hAnsi="Times New Roman"/>
            <w:b w:val="false"/>
            <w:i w:val="false"/>
            <w:color w:val="000000"/>
            <w:sz w:val="22"/>
          </w:rPr>
          <w:t>148.2A</w:t>
        </w:r>
      </w:hyperlink>
      <w:r>
        <w:rPr>
          <w:rFonts w:ascii="Times New Roman" w:hAnsi="Times New Roman"/>
          <w:b w:val="false"/>
          <w:i w:val="false"/>
          <w:color w:val="000000"/>
          <w:sz w:val="22"/>
        </w:rPr>
        <w:t xml:space="preserve"> to substitute for a board member who is disqualified or becomes unavailable for a contested case hearing. An alternate board member is deemed a member of the board only for the hearing panel(s) for which the alternate board member serves.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board of medicine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Iowa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“Director”</w:t>
      </w:r>
      <w:r>
        <w:rPr>
          <w:rFonts w:ascii="Times New Roman" w:hAnsi="Times New Roman"/>
          <w:b w:val="false"/>
          <w:i w:val="false"/>
          <w:color w:val="000000"/>
          <w:sz w:val="22"/>
        </w:rPr>
        <w:t> </w:t>
      </w:r>
      <w:r>
        <w:rPr>
          <w:rFonts w:ascii="Times New Roman" w:hAnsi="Times New Roman"/>
          <w:b w:val="false"/>
          <w:i w:val="false"/>
          <w:color w:val="000000"/>
          <w:sz w:val="22"/>
        </w:rPr>
        <w:t>means the director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“Disciplinary proceeding”</w:t>
      </w:r>
      <w:r>
        <w:rPr>
          <w:rFonts w:ascii="Times New Roman" w:hAnsi="Times New Roman"/>
          <w:b w:val="false"/>
          <w:i w:val="false"/>
          <w:color w:val="000000"/>
          <w:sz w:val="22"/>
        </w:rPr>
        <w:t> </w:t>
      </w:r>
      <w:r>
        <w:rPr>
          <w:rFonts w:ascii="Times New Roman" w:hAnsi="Times New Roman"/>
          <w:b w:val="false"/>
          <w:i w:val="false"/>
          <w:color w:val="000000"/>
          <w:sz w:val="22"/>
        </w:rPr>
        <w:t>means any proceeding under the authority of the board pursuant to which licensee discipline may be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w:t>
      </w:r>
      <w:r>
        <w:rPr>
          <w:rFonts w:ascii="Times New Roman" w:hAnsi="Times New Roman"/>
          <w:b w:val="false"/>
          <w:i w:val="false"/>
          <w:color w:val="000000"/>
          <w:sz w:val="22"/>
        </w:rPr>
        <w:t> </w:t>
      </w:r>
      <w:r>
        <w:rPr>
          <w:rFonts w:ascii="Times New Roman" w:hAnsi="Times New Roman"/>
          <w:b w:val="false"/>
          <w:i w:val="false"/>
          <w:color w:val="000000"/>
          <w:sz w:val="22"/>
        </w:rPr>
        <w:t>means a certificate issued to a person licensed to practice medicine and surgery, osteopathic medicine and surgery, or acupuncture under the laws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means a person licensed to practice medicine and surgery, osteopathic medicine and surgery, or acupuncture under the laws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 discipline”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“discipline”</w:t>
      </w:r>
      <w:r>
        <w:rPr>
          <w:rFonts w:ascii="Times New Roman" w:hAnsi="Times New Roman"/>
          <w:b w:val="false"/>
          <w:i w:val="false"/>
          <w:color w:val="000000"/>
          <w:sz w:val="22"/>
        </w:rPr>
        <w:t> </w:t>
      </w:r>
      <w:r>
        <w:rPr>
          <w:rFonts w:ascii="Times New Roman" w:hAnsi="Times New Roman"/>
          <w:b w:val="false"/>
          <w:i w:val="false"/>
          <w:color w:val="000000"/>
          <w:sz w:val="22"/>
        </w:rPr>
        <w:t>means any sanction the board may impose upon its licensees for conduct that threatens or denies citizens of this state a high standard of professional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“Malpractice”</w:t>
      </w:r>
      <w:r>
        <w:rPr>
          <w:rFonts w:ascii="Times New Roman" w:hAnsi="Times New Roman"/>
          <w:b w:val="false"/>
          <w:i w:val="false"/>
          <w:color w:val="000000"/>
          <w:sz w:val="22"/>
        </w:rPr>
        <w:t> </w:t>
      </w:r>
      <w:r>
        <w:rPr>
          <w:rFonts w:ascii="Times New Roman" w:hAnsi="Times New Roman"/>
          <w:b w:val="false"/>
          <w:i w:val="false"/>
          <w:color w:val="000000"/>
          <w:sz w:val="22"/>
        </w:rPr>
        <w:t>means any error or omission, unreasonable lack of skill, or failure to maintain a reasonable standard of care by a physician in the practice of the physician’s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practice Acts”</w:t>
      </w:r>
      <w:r>
        <w:rPr>
          <w:rFonts w:ascii="Times New Roman" w:hAnsi="Times New Roman"/>
          <w:b w:val="false"/>
          <w:i w:val="false"/>
          <w:color w:val="000000"/>
          <w:sz w:val="22"/>
        </w:rPr>
        <w:t> </w:t>
      </w:r>
      <w:r>
        <w:rPr>
          <w:rFonts w:ascii="Times New Roman" w:hAnsi="Times New Roman"/>
          <w:b w:val="false"/>
          <w:i w:val="false"/>
          <w:color w:val="000000"/>
          <w:sz w:val="22"/>
        </w:rPr>
        <w:t xml:space="preserve">refers to Iowa Code chapters </w:t>
      </w:r>
      <w:hyperlink r:id="rId6">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“Order”</w:t>
      </w:r>
      <w:r>
        <w:rPr>
          <w:rFonts w:ascii="Times New Roman" w:hAnsi="Times New Roman"/>
          <w:b w:val="false"/>
          <w:i w:val="false"/>
          <w:color w:val="000000"/>
          <w:sz w:val="22"/>
        </w:rPr>
        <w:t> </w:t>
      </w:r>
      <w:r>
        <w:rPr>
          <w:rFonts w:ascii="Times New Roman" w:hAnsi="Times New Roman"/>
          <w:b w:val="false"/>
          <w:i w:val="false"/>
          <w:color w:val="000000"/>
          <w:sz w:val="22"/>
        </w:rPr>
        <w:t>means a requirement, procedure or standard of specific or limited application adopted by the board relating to any matter the board is authorized to act upon, including the professional conduct of licensees and the examination for licensure and licensure of any person under the laws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“Peer review”</w:t>
      </w:r>
      <w:r>
        <w:rPr>
          <w:rFonts w:ascii="Times New Roman" w:hAnsi="Times New Roman"/>
          <w:b w:val="false"/>
          <w:i w:val="false"/>
          <w:color w:val="000000"/>
          <w:sz w:val="22"/>
        </w:rPr>
        <w:t> </w:t>
      </w:r>
      <w:r>
        <w:rPr>
          <w:rFonts w:ascii="Times New Roman" w:hAnsi="Times New Roman"/>
          <w:b w:val="false"/>
          <w:i w:val="false"/>
          <w:color w:val="000000"/>
          <w:sz w:val="22"/>
        </w:rPr>
        <w:t>means evaluation of professional services rendered by a professional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“Peer reviewer(s)”</w:t>
      </w:r>
      <w:r>
        <w:rPr>
          <w:rFonts w:ascii="Times New Roman" w:hAnsi="Times New Roman"/>
          <w:b w:val="false"/>
          <w:i w:val="false"/>
          <w:color w:val="000000"/>
          <w:sz w:val="22"/>
        </w:rPr>
        <w:t> </w:t>
      </w:r>
      <w:r>
        <w:rPr>
          <w:rFonts w:ascii="Times New Roman" w:hAnsi="Times New Roman"/>
          <w:b w:val="false"/>
          <w:i w:val="false"/>
          <w:color w:val="000000"/>
          <w:sz w:val="22"/>
        </w:rPr>
        <w:t>means one or more persons acting in a peer review capacity who have been appointed by the board for such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w:t>
      </w:r>
      <w:r>
        <w:rPr>
          <w:rFonts w:ascii="Times New Roman" w:hAnsi="Times New Roman"/>
          <w:b w:val="false"/>
          <w:i w:val="false"/>
          <w:color w:val="000000"/>
          <w:sz w:val="22"/>
        </w:rPr>
        <w:t> </w:t>
      </w:r>
      <w:r>
        <w:rPr>
          <w:rFonts w:ascii="Times New Roman" w:hAnsi="Times New Roman"/>
          <w:b w:val="false"/>
          <w:i w:val="false"/>
          <w:color w:val="000000"/>
          <w:sz w:val="22"/>
        </w:rPr>
        <w:t>means a person licensed to practice medicine and surgery or osteopathic medicine and surgery under the laws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“Practice of acupuncture”</w:t>
      </w:r>
      <w:r>
        <w:rPr>
          <w:rFonts w:ascii="Times New Roman" w:hAnsi="Times New Roman"/>
          <w:b w:val="false"/>
          <w:i w:val="false"/>
          <w:color w:val="000000"/>
          <w:sz w:val="22"/>
        </w:rPr>
        <w:t> </w:t>
      </w:r>
      <w:r>
        <w:rPr>
          <w:rFonts w:ascii="Times New Roman" w:hAnsi="Times New Roman"/>
          <w:b w:val="false"/>
          <w:i w:val="false"/>
          <w:color w:val="000000"/>
          <w:sz w:val="22"/>
        </w:rPr>
        <w:t>means the insertion of acupuncture needles and the application of moxibustion to specific areas of the human body based upon oriental medical diagnosis as a primary mode of therapy. Adjunctive therapies within the scope of acupuncture may include manual, mechanical, thermal, electrical, and electromagnetic treatment, and the recommendation of dietary guidelines and therapeutic exercise based on traditional oriental medical concepts.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“The practice of medicine and surgery”</w:t>
      </w:r>
      <w:r>
        <w:rPr>
          <w:rFonts w:ascii="Times New Roman" w:hAnsi="Times New Roman"/>
          <w:b w:val="false"/>
          <w:i w:val="false"/>
          <w:color w:val="000000"/>
          <w:sz w:val="22"/>
        </w:rPr>
        <w:t> </w:t>
      </w:r>
      <w:r>
        <w:rPr>
          <w:rFonts w:ascii="Times New Roman" w:hAnsi="Times New Roman"/>
          <w:b w:val="false"/>
          <w:i w:val="false"/>
          <w:color w:val="000000"/>
          <w:sz w:val="22"/>
        </w:rPr>
        <w:t>means holding one’s self out as being able to diagnose, treat, operate or prescribe for any human disease, pain, injury, deformity or physical or mental condition and who shall either offer or undertake, by any means or methods, to diagnose, treat, operate or prescribe for any human disease, pain, injury, deformity or physical or mental condition. This rule shall not apply to licensed podiatrists, chiropractors, physical therapists, nurses, dentists, optometrists, acupuncturists, pharmacists, and other licensed health professionals who are exclusively engaged in the practice of their respective professions.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“Prescription drugs”</w:t>
      </w:r>
      <w:r>
        <w:rPr>
          <w:rFonts w:ascii="Times New Roman" w:hAnsi="Times New Roman"/>
          <w:b w:val="false"/>
          <w:i w:val="false"/>
          <w:color w:val="000000"/>
          <w:sz w:val="22"/>
        </w:rPr>
        <w:t> </w:t>
      </w:r>
      <w:r>
        <w:rPr>
          <w:rFonts w:ascii="Times New Roman" w:hAnsi="Times New Roman"/>
          <w:b w:val="false"/>
          <w:i w:val="false"/>
          <w:color w:val="000000"/>
          <w:sz w:val="22"/>
        </w:rPr>
        <w:t>means drugs, medicine and controlled substances that by law can only be prescribed for human use by persons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“Profession”</w:t>
      </w:r>
      <w:r>
        <w:rPr>
          <w:rFonts w:ascii="Times New Roman" w:hAnsi="Times New Roman"/>
          <w:b w:val="false"/>
          <w:i w:val="false"/>
          <w:color w:val="000000"/>
          <w:sz w:val="22"/>
        </w:rPr>
        <w:t> </w:t>
      </w:r>
      <w:r>
        <w:rPr>
          <w:rFonts w:ascii="Times New Roman" w:hAnsi="Times New Roman"/>
          <w:b w:val="false"/>
          <w:i w:val="false"/>
          <w:color w:val="000000"/>
          <w:sz w:val="22"/>
        </w:rPr>
        <w:t>means medicine and surgery, osteopathic medicine and surgery, or acupuncture.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“Respondent”</w:t>
      </w:r>
      <w:r>
        <w:rPr>
          <w:rFonts w:ascii="Times New Roman" w:hAnsi="Times New Roman"/>
          <w:b w:val="false"/>
          <w:i w:val="false"/>
          <w:color w:val="000000"/>
          <w:sz w:val="22"/>
        </w:rPr>
        <w:t> </w:t>
      </w:r>
      <w:r>
        <w:rPr>
          <w:rFonts w:ascii="Times New Roman" w:hAnsi="Times New Roman"/>
          <w:b w:val="false"/>
          <w:i w:val="false"/>
          <w:color w:val="000000"/>
          <w:sz w:val="22"/>
        </w:rPr>
        <w:t>means a licensee charged by the board in a complaint and statement of charges with violations of statutes or rules relating to the practice of medicine and surgery, osteopathic medicine and surgery, or acupuncture.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“Rule”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regulation, requirement, procedure, or standard of general application prescribed by the board relating to either the administration or enforcement of Iowa Code chapters </w:t>
      </w:r>
      <w:hyperlink r:id="rId8">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148E</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9109C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481—650.2</w:t>
      </w:r>
      <w:r>
        <w:rPr>
          <w:rFonts w:ascii="Times New Roman" w:hAnsi="Times New Roman"/>
          <w:b/>
          <w:i w:val="false"/>
          <w:color w:val="000000"/>
          <w:sz w:val="22"/>
        </w:rPr>
        <w:t xml:space="preserve">(17A) </w:t>
      </w:r>
      <w:r>
        <w:rPr>
          <w:rFonts w:ascii="Times New Roman" w:hAnsi="Times New Roman"/>
          <w:b/>
          <w:i w:val="false"/>
          <w:color w:val="000000"/>
          <w:sz w:val="22"/>
        </w:rPr>
        <w:t xml:space="preserve">Purpose of board. </w:t>
      </w:r>
      <w:r>
        <w:rPr>
          <w:rFonts w:ascii="Times New Roman" w:hAnsi="Times New Roman"/>
          <w:b w:val="false"/>
          <w:i w:val="false"/>
          <w:color w:val="000000"/>
          <w:sz w:val="22"/>
        </w:rPr>
        <w:t xml:space="preserve">The purpose of the board is to administer and enforce the provisions of Iowa Code chapters </w:t>
      </w:r>
      <w:hyperlink r:id="rId11">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148E</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with regard to the practice of medicine and surgery, osteopathic medicine and surgery, and acupuncture.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9109C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481—650.3</w:t>
      </w:r>
      <w:r>
        <w:rPr>
          <w:rFonts w:ascii="Times New Roman" w:hAnsi="Times New Roman"/>
          <w:b/>
          <w:i w:val="false"/>
          <w:color w:val="000000"/>
          <w:sz w:val="22"/>
        </w:rPr>
        <w:t xml:space="preserve">(17A) </w:t>
      </w:r>
      <w:r>
        <w:rPr>
          <w:rFonts w:ascii="Times New Roman" w:hAnsi="Times New Roman"/>
          <w:b/>
          <w:i w:val="false"/>
          <w:color w:val="000000"/>
          <w:sz w:val="22"/>
        </w:rPr>
        <w:t xml:space="preserve">Organization of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650.3(1)</w:t>
      </w:r>
      <w:r>
        <w:rPr>
          <w:rFonts w:ascii="Times New Roman" w:hAnsi="Times New Roman"/>
          <w:b w:val="false"/>
          <w:i w:val="false"/>
          <w:color w:val="000000"/>
          <w:sz w:val="22"/>
        </w:rPr>
        <w:t> </w:t>
      </w:r>
      <w:r>
        <w:rPr>
          <w:rFonts w:ascii="Times New Roman" w:hAnsi="Times New Roman"/>
          <w:b w:val="false"/>
          <w:i w:val="false"/>
          <w:color w:val="000000"/>
          <w:sz w:val="22"/>
        </w:rPr>
        <w:t>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Makes policy relative to matters involving medical and acupuncture education, licensure, practice, and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Conducts business according to board-approved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Elects a chairperson, vice chairperson and a secretary from its membership at the last regular board meeting prior to May 1 or at another date in April scheduled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Has the authority and powers conferred in Iowa Code chapters </w:t>
      </w:r>
      <w:hyperlink r:id="rId1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may establish committees of the board, the members of which, except for the executive committee, shall be appointed by the board chairperson and shall not constitute a quorum of the board. The board chairperson shall appoint committee chairpersons. Committees of the board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Executive committee. The membership is composed of the elected officers of the board and two at-large members appointed by the chairperson. At least one public member is appointed to the executive committee. The executive committee duties may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Guidance and supervision of the executive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Budgetary review and recommendations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Review and recommendations to the board on rules and legislative proposals.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Study and recommendations to the board on practice issues and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Screening committee. The committee reviews complaints and makes recommendations to the board on appropriate action including further investigation or referral to the board for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Licensure committee. Its duties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Recommending appropriate action on completed applications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Conducting interviews with applicants when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Reviewing licensure examination matters.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Reviewing and recommending to the board appropriate changes in licensure application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Reviewing and making recommendations to the board regarding volunteer physician applicants who wish to participate in the state-indemnified volunteer physician program and who are under investigation or who have or have had disciplinary action against a license in the present or in the past.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Making recommendations on licensure policy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Monitoring committee. The committee oversees the monitoring of licensees under board orders and makes recommendations to the board on these matters.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Establishes, in accordance with Iowa Code section </w:t>
      </w:r>
      <w:hyperlink r:id="rId19">
        <w:r>
          <w:rPr>
            <w:rStyle w:val="Hyperlink"/>
            <w:rFonts w:ascii="Times New Roman" w:hAnsi="Times New Roman"/>
            <w:b w:val="false"/>
            <w:i w:val="false"/>
            <w:color w:val="000000"/>
            <w:sz w:val="22"/>
          </w:rPr>
          <w:t>148.2A</w:t>
        </w:r>
      </w:hyperlink>
      <w:r>
        <w:rPr>
          <w:rFonts w:ascii="Times New Roman" w:hAnsi="Times New Roman"/>
          <w:b w:val="false"/>
          <w:i w:val="false"/>
          <w:color w:val="000000"/>
          <w:sz w:val="22"/>
        </w:rPr>
        <w:t>, a pool of alternate board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650.3(2)</w:t>
      </w:r>
      <w:r>
        <w:rPr>
          <w:rFonts w:ascii="Times New Roman" w:hAnsi="Times New Roman"/>
          <w:b w:val="false"/>
          <w:i w:val="false"/>
          <w:color w:val="000000"/>
          <w:sz w:val="22"/>
        </w:rPr>
        <w:t> </w:t>
      </w:r>
      <w:r>
        <w:rPr>
          <w:rFonts w:ascii="Times New Roman" w:hAnsi="Times New Roman"/>
          <w:b w:val="false"/>
          <w:i w:val="false"/>
          <w:color w:val="000000"/>
          <w:sz w:val="22"/>
        </w:rPr>
        <w:t>A majority of the members of the board shall constitute a quorum. Official action, including filing of formal charges or imposition of discipline, requires a majority vote of members present.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9109C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481—650.4</w:t>
      </w:r>
      <w:r>
        <w:rPr>
          <w:rFonts w:ascii="Times New Roman" w:hAnsi="Times New Roman"/>
          <w:b/>
          <w:i w:val="false"/>
          <w:color w:val="000000"/>
          <w:sz w:val="22"/>
        </w:rPr>
        <w:t xml:space="preserve">(17A) </w:t>
      </w:r>
      <w:r>
        <w:rPr>
          <w:rFonts w:ascii="Times New Roman" w:hAnsi="Times New Roman"/>
          <w:b/>
          <w:i w:val="false"/>
          <w:color w:val="000000"/>
          <w:sz w:val="22"/>
        </w:rPr>
        <w:t xml:space="preserve">Official communications. </w:t>
      </w:r>
      <w:r>
        <w:rPr>
          <w:rFonts w:ascii="Times New Roman" w:hAnsi="Times New Roman"/>
          <w:b w:val="false"/>
          <w:i w:val="false"/>
          <w:color w:val="000000"/>
          <w:sz w:val="22"/>
        </w:rPr>
        <w:t>All official communications, including submissions and requests, should be addressed to the Executive Director, Iowa Board of Medicine, 6200 Park Avenue, Suite 100, Des Moines, Iowa 50321.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9109C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481—650.5</w:t>
      </w:r>
      <w:r>
        <w:rPr>
          <w:rFonts w:ascii="Times New Roman" w:hAnsi="Times New Roman"/>
          <w:b/>
          <w:i w:val="false"/>
          <w:color w:val="000000"/>
          <w:sz w:val="22"/>
        </w:rPr>
        <w:t xml:space="preserve">(17A) </w:t>
      </w:r>
      <w:r>
        <w:rPr>
          <w:rFonts w:ascii="Times New Roman" w:hAnsi="Times New Roman"/>
          <w:b/>
          <w:i w:val="false"/>
          <w:color w:val="000000"/>
          <w:sz w:val="22"/>
        </w:rPr>
        <w:t xml:space="preserve">Office hours. </w:t>
      </w:r>
      <w:r>
        <w:rPr>
          <w:rFonts w:ascii="Times New Roman" w:hAnsi="Times New Roman"/>
          <w:b w:val="false"/>
          <w:i w:val="false"/>
          <w:color w:val="000000"/>
          <w:sz w:val="22"/>
        </w:rPr>
        <w:t>The office of the board is open for public business from 8 a.m. to 4:30 p.m., Monday through Friday of each week, except holidays.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9109C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481—650.6</w:t>
      </w:r>
      <w:r>
        <w:rPr>
          <w:rFonts w:ascii="Times New Roman" w:hAnsi="Times New Roman"/>
          <w:b/>
          <w:i w:val="false"/>
          <w:color w:val="000000"/>
          <w:sz w:val="22"/>
        </w:rPr>
        <w:t xml:space="preserve">(17A) </w:t>
      </w:r>
      <w:r>
        <w:rPr>
          <w:rFonts w:ascii="Times New Roman" w:hAnsi="Times New Roman"/>
          <w:b/>
          <w:i w:val="false"/>
          <w:color w:val="000000"/>
          <w:sz w:val="22"/>
        </w:rPr>
        <w:t xml:space="preserve">Meetings. </w:t>
      </w:r>
      <w:r>
        <w:rPr>
          <w:rFonts w:ascii="Times New Roman" w:hAnsi="Times New Roman"/>
          <w:b w:val="false"/>
          <w:i w:val="false"/>
          <w:color w:val="000000"/>
          <w:sz w:val="22"/>
        </w:rPr>
        <w:t xml:space="preserve">The board shall meet at least six times per year. Dates and location of board meetings may be obtained from the board’s office or on the board’s website at </w:t>
      </w:r>
      <w:hyperlink r:id="rId20">
        <w:r>
          <w:rPr>
            <w:rStyle w:val="Hyperlink"/>
            <w:rFonts w:ascii="Times New Roman" w:hAnsi="Times New Roman"/>
            <w:b w:val="false"/>
            <w:i w:val="false"/>
            <w:color w:val="000000"/>
            <w:sz w:val="22"/>
            <w:u w:val="single"/>
          </w:rPr>
          <w:t>dial.iowa.gov</w:t>
        </w:r>
      </w:hyperlink>
      <w:r>
        <w:rPr>
          <w:rFonts w:ascii="Times New Roman" w:hAnsi="Times New Roman"/>
          <w:b w:val="false"/>
          <w:i w:val="false"/>
          <w:color w:val="000000"/>
          <w:sz w:val="22"/>
        </w:rPr>
        <w:t>. Except as otherwise provided by statute, all board meetings are open, and the public is permitted to attend the meetings.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9109C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481—650.7</w:t>
      </w:r>
      <w:r>
        <w:rPr>
          <w:rFonts w:ascii="Times New Roman" w:hAnsi="Times New Roman"/>
          <w:b/>
          <w:i w:val="false"/>
          <w:color w:val="000000"/>
          <w:sz w:val="22"/>
        </w:rPr>
        <w:t xml:space="preserve">(17A,272C) </w:t>
      </w:r>
      <w:r>
        <w:rPr>
          <w:rFonts w:ascii="Times New Roman" w:hAnsi="Times New Roman"/>
          <w:b/>
          <w:i w:val="false"/>
          <w:color w:val="000000"/>
          <w:sz w:val="22"/>
        </w:rPr>
        <w:t xml:space="preserve">Adoption of uniform and model rules. </w:t>
      </w:r>
      <w:r>
        <w:rPr>
          <w:rFonts w:ascii="Times New Roman" w:hAnsi="Times New Roman"/>
          <w:b w:val="false"/>
          <w:i w:val="false"/>
          <w:color w:val="000000"/>
          <w:sz w:val="22"/>
        </w:rPr>
        <w:t>The board hereby adopts by reference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Uniform Rules on Agency Procedure, </w:t>
      </w:r>
      <w:hyperlink r:id="rId21">
        <w:r>
          <w:rPr>
            <w:rStyle w:val="Hyperlink"/>
            <w:rFonts w:ascii="Times New Roman" w:hAnsi="Times New Roman"/>
            <w:b w:val="false"/>
            <w:i w:val="false"/>
            <w:color w:val="000000"/>
            <w:sz w:val="22"/>
          </w:rPr>
          <w:t>7—Chapters 2501</w:t>
        </w:r>
      </w:hyperlink>
      <w:r>
        <w:rPr>
          <w:rFonts w:ascii="Times New Roman" w:hAnsi="Times New Roman"/>
          <w:b w:val="false"/>
          <w:i w:val="false"/>
          <w:color w:val="000000"/>
          <w:sz w:val="22"/>
        </w:rPr>
        <w:t xml:space="preserve"> through </w:t>
      </w:r>
      <w:hyperlink r:id="rId22">
        <w:r>
          <w:rPr>
            <w:rStyle w:val="Hyperlink"/>
            <w:rFonts w:ascii="Times New Roman" w:hAnsi="Times New Roman"/>
            <w:b w:val="false"/>
            <w:i w:val="false"/>
            <w:color w:val="000000"/>
            <w:sz w:val="22"/>
          </w:rPr>
          <w:t>2505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Military Service, Veteran Reciprocity, and Spouses of Active-Duty Service Members, </w:t>
      </w:r>
      <w:hyperlink r:id="rId23">
        <w:r>
          <w:rPr>
            <w:rStyle w:val="Hyperlink"/>
            <w:rFonts w:ascii="Times New Roman" w:hAnsi="Times New Roman"/>
            <w:b w:val="false"/>
            <w:i w:val="false"/>
            <w:color w:val="000000"/>
            <w:sz w:val="22"/>
          </w:rPr>
          <w:t>481—Chapter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Licensing and Child Support Noncompliance, Student Loan Repayment Noncompliance, and Nonpayment of State Debt, </w:t>
      </w:r>
      <w:hyperlink r:id="rId24">
        <w:r>
          <w:rPr>
            <w:rStyle w:val="Hyperlink"/>
            <w:rFonts w:ascii="Times New Roman" w:hAnsi="Times New Roman"/>
            <w:b w:val="false"/>
            <w:i w:val="false"/>
            <w:color w:val="000000"/>
            <w:sz w:val="22"/>
          </w:rPr>
          <w:t>481—Chapter 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Model Rules for Use of Criminal Convictions in Eligibility Determinations and Initial Licensing Decisions, </w:t>
      </w:r>
      <w:hyperlink r:id="rId25">
        <w:r>
          <w:rPr>
            <w:rStyle w:val="Hyperlink"/>
            <w:rFonts w:ascii="Times New Roman" w:hAnsi="Times New Roman"/>
            <w:b w:val="false"/>
            <w:i w:val="false"/>
            <w:color w:val="000000"/>
            <w:sz w:val="22"/>
          </w:rPr>
          <w:t>481—Chapter 502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Model Rules for Licensee Review Committee, </w:t>
      </w:r>
      <w:hyperlink r:id="rId26">
        <w:r>
          <w:rPr>
            <w:rStyle w:val="Hyperlink"/>
            <w:rFonts w:ascii="Times New Roman" w:hAnsi="Times New Roman"/>
            <w:b w:val="false"/>
            <w:i w:val="false"/>
            <w:color w:val="000000"/>
            <w:sz w:val="22"/>
          </w:rPr>
          <w:t>481—Chapter 505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Model Rules for Contested Cases Before Licensing Boards, </w:t>
      </w:r>
      <w:hyperlink r:id="rId27">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9109C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11/20/51; amended 5/13/64]</w:t>
      </w:r>
    </w:p>
    <w:p>
      <w:pPr>
        <w:spacing w:before="0" w:after="0"/>
        <w:ind w:left="120"/>
        <w:jc w:val="center"/>
      </w:pPr>
      <w:r>
        <w:rPr>
          <w:rFonts w:ascii="Times New Roman" w:hAnsi="Times New Roman"/>
          <w:b w:val="false"/>
          <w:i w:val="false"/>
          <w:color w:val="000000"/>
          <w:sz w:val="21"/>
        </w:rPr>
        <w:t>[Filed 2/5/79, Notice 11/29/78—published 2/21/79, effective 3/29/79]</w:t>
      </w:r>
    </w:p>
    <w:p>
      <w:pPr>
        <w:spacing w:before="0" w:after="0"/>
        <w:ind w:left="120"/>
        <w:jc w:val="center"/>
      </w:pPr>
      <w:r>
        <w:rPr>
          <w:rFonts w:ascii="Times New Roman" w:hAnsi="Times New Roman"/>
          <w:b w:val="false"/>
          <w:i w:val="false"/>
          <w:color w:val="000000"/>
          <w:sz w:val="21"/>
        </w:rPr>
        <w:t>[Filed without Notice 2/14/80—published 3/5/80, effective 4/9/80]</w:t>
      </w:r>
    </w:p>
    <w:p>
      <w:pPr>
        <w:spacing w:before="0" w:after="0"/>
        <w:ind w:left="120"/>
        <w:jc w:val="center"/>
      </w:pPr>
      <w:r>
        <w:rPr>
          <w:rFonts w:ascii="Times New Roman" w:hAnsi="Times New Roman"/>
          <w:b w:val="false"/>
          <w:i w:val="false"/>
          <w:color w:val="000000"/>
          <w:sz w:val="21"/>
        </w:rPr>
        <w:t>[Filed 3/13/81, Notice 1/7/81—published 4/1/81, effective 5/6/81]</w:t>
      </w:r>
    </w:p>
    <w:p>
      <w:pPr>
        <w:spacing w:before="0" w:after="0"/>
        <w:ind w:left="120"/>
        <w:jc w:val="center"/>
      </w:pPr>
      <w:r>
        <w:rPr>
          <w:rFonts w:ascii="Times New Roman" w:hAnsi="Times New Roman"/>
          <w:b w:val="false"/>
          <w:i w:val="false"/>
          <w:color w:val="000000"/>
          <w:sz w:val="21"/>
        </w:rPr>
        <w:t>[Filed emergency after Notice 4/28/83, Notice 2/2/83—published 5/25/83, effective 4/28/83]</w:t>
      </w:r>
    </w:p>
    <w:p>
      <w:pPr>
        <w:spacing w:before="0" w:after="0"/>
        <w:ind w:left="120"/>
        <w:jc w:val="center"/>
      </w:pPr>
      <w:r>
        <w:rPr>
          <w:rFonts w:ascii="Times New Roman" w:hAnsi="Times New Roman"/>
          <w:b w:val="false"/>
          <w:i w:val="false"/>
          <w:color w:val="000000"/>
          <w:sz w:val="21"/>
        </w:rPr>
        <w:t>[Filed 7/15/83, Notice 6/8/83—published 8/3/83, effective 9/7/83]</w:t>
      </w:r>
    </w:p>
    <w:p>
      <w:pPr>
        <w:spacing w:before="0" w:after="0"/>
        <w:ind w:left="120"/>
        <w:jc w:val="center"/>
      </w:pPr>
      <w:r>
        <w:rPr>
          <w:rFonts w:ascii="Times New Roman" w:hAnsi="Times New Roman"/>
          <w:b w:val="false"/>
          <w:i w:val="false"/>
          <w:color w:val="000000"/>
          <w:sz w:val="21"/>
        </w:rPr>
        <w:t>[Filed emergency 4/15/88—published 5/4/88, effective 4/15/88]</w:t>
      </w:r>
    </w:p>
    <w:p>
      <w:pPr>
        <w:spacing w:before="0" w:after="0"/>
        <w:ind w:left="120"/>
        <w:jc w:val="center"/>
      </w:pPr>
      <w:r>
        <w:rPr>
          <w:rFonts w:ascii="Times New Roman" w:hAnsi="Times New Roman"/>
          <w:b w:val="false"/>
          <w:i w:val="false"/>
          <w:color w:val="000000"/>
          <w:sz w:val="21"/>
        </w:rPr>
        <w:t>[Filed 4/25/89, Notice 2/22/89—published 5/17/89, effective 6/21/89]</w:t>
      </w:r>
    </w:p>
    <w:p>
      <w:pPr>
        <w:spacing w:before="0" w:after="0"/>
        <w:ind w:left="120"/>
        <w:jc w:val="center"/>
      </w:pPr>
      <w:r>
        <w:rPr>
          <w:rFonts w:ascii="Times New Roman" w:hAnsi="Times New Roman"/>
          <w:b w:val="false"/>
          <w:i w:val="false"/>
          <w:color w:val="000000"/>
          <w:sz w:val="21"/>
        </w:rPr>
        <w:t>[Filed 8/2/90, Notice 5/30/90—published 8/22/90, effective 9/26/90]</w:t>
      </w:r>
    </w:p>
    <w:p>
      <w:pPr>
        <w:spacing w:before="0" w:after="0"/>
        <w:ind w:left="120"/>
        <w:jc w:val="center"/>
      </w:pPr>
      <w:r>
        <w:rPr>
          <w:rFonts w:ascii="Times New Roman" w:hAnsi="Times New Roman"/>
          <w:b w:val="false"/>
          <w:i w:val="false"/>
          <w:color w:val="000000"/>
          <w:sz w:val="21"/>
        </w:rPr>
        <w:t>[Filed 1/10/94, Notice 11/24/93—published 2/2/94, effective 3/9/94]</w:t>
      </w:r>
    </w:p>
    <w:p>
      <w:pPr>
        <w:spacing w:before="0" w:after="0"/>
        <w:ind w:left="120"/>
        <w:jc w:val="center"/>
      </w:pPr>
      <w:r>
        <w:rPr>
          <w:rFonts w:ascii="Times New Roman" w:hAnsi="Times New Roman"/>
          <w:b w:val="false"/>
          <w:i w:val="false"/>
          <w:color w:val="000000"/>
          <w:sz w:val="21"/>
        </w:rPr>
        <w:t>[Filed 4/1/94, Notice 2/2/94—published 4/27/94, effective 6/1/94]</w:t>
      </w:r>
    </w:p>
    <w:p>
      <w:pPr>
        <w:spacing w:before="0" w:after="0"/>
        <w:ind w:left="120"/>
        <w:jc w:val="center"/>
      </w:pPr>
      <w:r>
        <w:rPr>
          <w:rFonts w:ascii="Times New Roman" w:hAnsi="Times New Roman"/>
          <w:b w:val="false"/>
          <w:i w:val="false"/>
          <w:color w:val="000000"/>
          <w:sz w:val="21"/>
        </w:rPr>
        <w:t>[Filed 5/2/97, Notice 3/12/97—published 5/21/97, effective 6/25/97]</w:t>
      </w:r>
    </w:p>
    <w:p>
      <w:pPr>
        <w:spacing w:before="0" w:after="0"/>
        <w:ind w:left="120"/>
        <w:jc w:val="center"/>
      </w:pPr>
      <w:r>
        <w:rPr>
          <w:rFonts w:ascii="Times New Roman" w:hAnsi="Times New Roman"/>
          <w:b w:val="false"/>
          <w:i w:val="false"/>
          <w:color w:val="000000"/>
          <w:sz w:val="21"/>
        </w:rPr>
        <w:t>[Filed 4/30/99, Notice 3/24/99—published 5/19/99, effective 7/1/99]</w:t>
      </w:r>
    </w:p>
    <w:p>
      <w:pPr>
        <w:spacing w:before="0" w:after="0"/>
        <w:ind w:left="120"/>
        <w:jc w:val="center"/>
      </w:pPr>
      <w:r>
        <w:rPr>
          <w:rFonts w:ascii="Times New Roman" w:hAnsi="Times New Roman"/>
          <w:b w:val="false"/>
          <w:i w:val="false"/>
          <w:color w:val="000000"/>
          <w:sz w:val="21"/>
        </w:rPr>
        <w:t>[Filed 11/10/99, Notice 9/22/99—published 12/1/99, effective 1/5/00]</w:t>
      </w:r>
    </w:p>
    <w:p>
      <w:pPr>
        <w:spacing w:before="0" w:after="0"/>
        <w:ind w:left="120"/>
        <w:jc w:val="center"/>
      </w:pPr>
      <w:r>
        <w:rPr>
          <w:rFonts w:ascii="Times New Roman" w:hAnsi="Times New Roman"/>
          <w:b w:val="false"/>
          <w:i w:val="false"/>
          <w:color w:val="000000"/>
          <w:sz w:val="21"/>
        </w:rPr>
        <w:t>[Filed 9/29/00, Notice 6/28/00—published 10/18/00, effective 11/22/00]</w:t>
      </w:r>
    </w:p>
    <w:p>
      <w:pPr>
        <w:spacing w:before="0" w:after="0"/>
        <w:ind w:left="120"/>
        <w:jc w:val="center"/>
      </w:pPr>
      <w:r>
        <w:rPr>
          <w:rFonts w:ascii="Times New Roman" w:hAnsi="Times New Roman"/>
          <w:b w:val="false"/>
          <w:i w:val="false"/>
          <w:color w:val="000000"/>
          <w:sz w:val="21"/>
        </w:rPr>
        <w:t>[Filed 12/1/00, Notice 10/18/00—published 12/27/00, effective 1/31/01]</w:t>
      </w:r>
    </w:p>
    <w:p>
      <w:pPr>
        <w:spacing w:before="0" w:after="0"/>
        <w:ind w:left="120"/>
        <w:jc w:val="center"/>
      </w:pPr>
      <w:r>
        <w:rPr>
          <w:rFonts w:ascii="Times New Roman" w:hAnsi="Times New Roman"/>
          <w:b w:val="false"/>
          <w:i w:val="false"/>
          <w:color w:val="000000"/>
          <w:sz w:val="21"/>
        </w:rPr>
        <w:t>[Filed 11/5/04, Notice 9/29/04—published 11/24/04, effective 12/29/04]</w:t>
      </w:r>
    </w:p>
    <w:p>
      <w:pPr>
        <w:spacing w:before="0" w:after="0"/>
        <w:ind w:left="120"/>
        <w:jc w:val="center"/>
      </w:pPr>
      <w:r>
        <w:rPr>
          <w:rFonts w:ascii="Times New Roman" w:hAnsi="Times New Roman"/>
          <w:b w:val="false"/>
          <w:i w:val="false"/>
          <w:color w:val="000000"/>
          <w:sz w:val="21"/>
        </w:rPr>
        <w:t>[Filed 4/27/07, Notice 2/28/07—published 5/23/07, effective 6/27/07]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7/24/08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5599C</w:t>
      </w:r>
      <w:r>
        <w:rPr>
          <w:rFonts w:ascii="Times New Roman" w:hAnsi="Times New Roman"/>
          <w:b w:val="false"/>
          <w:i w:val="false"/>
          <w:color w:val="000000"/>
          <w:sz w:val="21"/>
        </w:rPr>
        <w:t xml:space="preserve"> (Notice ARC 5372C, IAB 12/30/20)</w:t>
      </w:r>
      <w:r>
        <w:rPr>
          <w:rFonts w:ascii="Times New Roman" w:hAnsi="Times New Roman"/>
          <w:b w:val="false"/>
          <w:i w:val="false"/>
          <w:color w:val="000000"/>
          <w:sz w:val="21"/>
        </w:rPr>
        <w:t>, IAB 5/5/21, effective 6/9/21]</w:t>
      </w:r>
    </w:p>
    <w:p>
      <w:pPr>
        <w:spacing w:before="0" w:after="0"/>
        <w:ind w:left="120"/>
        <w:jc w:val="center"/>
      </w:pPr>
      <w:r>
        <w:rPr>
          <w:rFonts w:ascii="Times New Roman" w:hAnsi="Times New Roman"/>
          <w:b w:val="false"/>
          <w:i w:val="false"/>
          <w:color w:val="000000"/>
          <w:sz w:val="21"/>
        </w:rPr>
        <w:t>[Filed ARC 9109C</w:t>
      </w:r>
      <w:r>
        <w:rPr>
          <w:rFonts w:ascii="Times New Roman" w:hAnsi="Times New Roman"/>
          <w:b w:val="false"/>
          <w:i w:val="false"/>
          <w:color w:val="000000"/>
          <w:sz w:val="21"/>
        </w:rPr>
        <w:t xml:space="preserve"> (Notice ARC 8659C, IAB 12/25/24)</w:t>
      </w:r>
      <w:r>
        <w:rPr>
          <w:rFonts w:ascii="Times New Roman" w:hAnsi="Times New Roman"/>
          <w:b w:val="false"/>
          <w:i w:val="false"/>
          <w:color w:val="000000"/>
          <w:sz w:val="21"/>
        </w:rPr>
        <w:t>, IAB 4/16/25, effective 5/21/25]</w:t>
      </w:r>
    </w:p>
    <w:p>
      <w:pPr>
        <w:spacing w:before="0" w:after="0"/>
        <w:ind w:left="120"/>
        <w:jc w:val="center"/>
      </w:pPr>
      <w:r>
        <w:rPr>
          <w:rFonts w:ascii="Times New Roman" w:hAnsi="Times New Roman"/>
          <w:b w:val="false"/>
          <w:i w:val="false"/>
          <w:color w:val="000000"/>
          <w:sz w:val="21"/>
        </w:rPr>
        <w:t>[Editorial change: IAC Supplement 6/11/25]</w:t>
      </w:r>
    </w:p>
    <w:p>
      <w:pPr>
        <w:spacing w:before="0" w:after="0"/>
        <w:ind w:left="120"/>
        <w:jc w:val="center"/>
      </w:pPr>
      <w:r>
        <w:rPr>
          <w:rFonts w:ascii="Times New Roman" w:hAnsi="Times New Roman"/>
          <w:b w:val="false"/>
          <w:i w:val="false"/>
          <w:color w:val="000000"/>
          <w:sz w:val="21"/>
        </w:rPr>
        <w:t>[Editorial change: IAC Supplement 8/5/26]</w:t>
      </w:r>
    </w:p>
    <w:sectPr>
      <w:footerReference r:id="rId2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8.2A.pdf" Type="http://schemas.openxmlformats.org/officeDocument/2006/relationships/hyperlink" Id="rId5"/>
    <Relationship TargetMode="External" Target="https://www.legis.iowa.gov/docs/ico/chapter/147.pdf" Type="http://schemas.openxmlformats.org/officeDocument/2006/relationships/hyperlink" Id="rId6"/>
    <Relationship TargetMode="External" Target="https://www.legis.iowa.gov/docs/ico/chapter/148.pdf" Type="http://schemas.openxmlformats.org/officeDocument/2006/relationships/hyperlink" Id="rId7"/>
    <Relationship TargetMode="External" Target="https://www.legis.iowa.gov/docs/ico/chapter/147.pdf" Type="http://schemas.openxmlformats.org/officeDocument/2006/relationships/hyperlink" Id="rId8"/>
    <Relationship TargetMode="External" Target="https://www.legis.iowa.gov/docs/ico/chapter/148.pdf" Type="http://schemas.openxmlformats.org/officeDocument/2006/relationships/hyperlink" Id="rId9"/>
    <Relationship TargetMode="External" Target="https://www.legis.iowa.gov/docs/ico/chapter/148E.pdf" Type="http://schemas.openxmlformats.org/officeDocument/2006/relationships/hyperlink" Id="rId10"/>
    <Relationship TargetMode="External" Target="https://www.legis.iowa.gov/docs/ico/chapter/147.pdf" Type="http://schemas.openxmlformats.org/officeDocument/2006/relationships/hyperlink" Id="rId11"/>
    <Relationship TargetMode="External" Target="https://www.legis.iowa.gov/docs/ico/chapter/148.pdf" Type="http://schemas.openxmlformats.org/officeDocument/2006/relationships/hyperlink" Id="rId12"/>
    <Relationship TargetMode="External" Target="https://www.legis.iowa.gov/docs/ico/chapter/148E.pdf" Type="http://schemas.openxmlformats.org/officeDocument/2006/relationships/hyperlink" Id="rId13"/>
    <Relationship TargetMode="External" Target="https://www.legis.iowa.gov/docs/ico/chapter/272C.pdf" Type="http://schemas.openxmlformats.org/officeDocument/2006/relationships/hyperlink" Id="rId14"/>
    <Relationship TargetMode="External" Target="https://www.legis.iowa.gov/docs/ico/chapter/17A.pdf" Type="http://schemas.openxmlformats.org/officeDocument/2006/relationships/hyperlink" Id="rId15"/>
    <Relationship TargetMode="External" Target="https://www.legis.iowa.gov/docs/ico/chapter/147.pdf" Type="http://schemas.openxmlformats.org/officeDocument/2006/relationships/hyperlink" Id="rId16"/>
    <Relationship TargetMode="External" Target="https://www.legis.iowa.gov/docs/ico/chapter/148.pdf" Type="http://schemas.openxmlformats.org/officeDocument/2006/relationships/hyperlink" Id="rId17"/>
    <Relationship TargetMode="External" Target="https://www.legis.iowa.gov/docs/ico/chapter/272C.pdf" Type="http://schemas.openxmlformats.org/officeDocument/2006/relationships/hyperlink" Id="rId18"/>
    <Relationship TargetMode="External" Target="https://www.legis.iowa.gov/docs/ico/chapter/148.2A.pdf" Type="http://schemas.openxmlformats.org/officeDocument/2006/relationships/hyperlink" Id="rId19"/>
    <Relationship TargetMode="External" Target="http://dial.iowa.gov" Type="http://schemas.openxmlformats.org/officeDocument/2006/relationships/hyperlink" Id="rId20"/>
    <Relationship TargetMode="External" Target="https://www.legis.iowa.gov/docs/iac/chapter/7.2501.pdf" Type="http://schemas.openxmlformats.org/officeDocument/2006/relationships/hyperlink" Id="rId21"/>
    <Relationship TargetMode="External" Target="https://www.legis.iowa.gov/docs/iac/chapter/7.2505.pdf" Type="http://schemas.openxmlformats.org/officeDocument/2006/relationships/hyperlink" Id="rId22"/>
    <Relationship TargetMode="External" Target="https://www.legis.iowa.gov/docs/iac/chapter/481.7.pdf" Type="http://schemas.openxmlformats.org/officeDocument/2006/relationships/hyperlink" Id="rId23"/>
    <Relationship TargetMode="External" Target="https://www.legis.iowa.gov/docs/iac/chapter/481.8.pdf" Type="http://schemas.openxmlformats.org/officeDocument/2006/relationships/hyperlink" Id="rId24"/>
    <Relationship TargetMode="External" Target="https://www.legis.iowa.gov/docs/iac/chapter/481.502.pdf" Type="http://schemas.openxmlformats.org/officeDocument/2006/relationships/hyperlink" Id="rId25"/>
    <Relationship TargetMode="External" Target="https://www.legis.iowa.gov/docs/iac/chapter/481.505.pdf" Type="http://schemas.openxmlformats.org/officeDocument/2006/relationships/hyperlink" Id="rId26"/>
    <Relationship TargetMode="External" Target="https://www.legis.iowa.gov/docs/iac/chapter/481.506.pdf" Type="http://schemas.openxmlformats.org/officeDocument/2006/relationships/hyperlink" Id="rId27"/>
    <Relationship Target="footer.xml" Type="http://schemas.openxmlformats.org/officeDocument/2006/relationships/footer"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