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623</w:t>
      </w:r>
    </w:p>
    <w:p>
      <w:pPr>
        <w:spacing w:before="0" w:after="0"/>
        <w:ind w:left="120"/>
        <w:jc w:val="center"/>
      </w:pPr>
      <w:r>
        <w:rPr>
          <w:rFonts w:ascii="Times New Roman" w:hAnsi="Times New Roman"/>
          <w:b w:val="false"/>
          <w:i w:val="false"/>
          <w:color w:val="000000"/>
          <w:sz w:val="21"/>
        </w:rPr>
        <w:t>CERTIFIED PROFESSIONAL MIDWIVES</w:t>
      </w:r>
    </w:p>
    <w:p>
      <w:pPr>
        <w:spacing w:before="0" w:after="0"/>
        <w:ind w:left="120"/>
        <w:jc w:val="center"/>
      </w:pPr>
      <w:r>
        <w:rPr>
          <w:rFonts w:ascii="Times New Roman" w:hAnsi="Times New Roman"/>
          <w:b w:val="false"/>
          <w:i w:val="false"/>
          <w:color w:val="000000"/>
          <w:sz w:val="14"/>
        </w:rPr>
        <w:t>[Prior to 6/11/25, see Nursing Board[655] Ch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481—623.1</w:t>
      </w:r>
      <w:r>
        <w:rPr>
          <w:rFonts w:ascii="Times New Roman" w:hAnsi="Times New Roman"/>
          <w:b/>
          <w:i w:val="false"/>
          <w:color w:val="000000"/>
          <w:sz w:val="22"/>
        </w:rPr>
        <w:t xml:space="preserve">(148I)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this chapter, in addition to those listed below, definitions as stated in Iowa Code section </w:t>
      </w:r>
      <w:hyperlink r:id="rId5">
        <w:r>
          <w:rPr>
            <w:rStyle w:val="Hyperlink"/>
            <w:rFonts w:ascii="Times New Roman" w:hAnsi="Times New Roman"/>
            <w:b w:val="false"/>
            <w:i w:val="false"/>
            <w:color w:val="000000"/>
            <w:sz w:val="22"/>
          </w:rPr>
          <w:t>148I.1</w:t>
        </w:r>
      </w:hyperlink>
      <w:r>
        <w:rPr>
          <w:rFonts w:ascii="Times New Roman" w:hAnsi="Times New Roman"/>
          <w:b w:val="false"/>
          <w:i w:val="false"/>
          <w:color w:val="000000"/>
          <w:sz w:val="22"/>
        </w:rPr>
        <w:t xml:space="preserve">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“Administer”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155A.3(1)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means discussing the aspects of an individual client’s circumstance with other professionals to ensure comprehensive and quality care for the client, consistent with the objectives in the client’s treatment plan or for purposes of making adjustments to the client’s treatment plan. Consultation may include history-taking; examination of the client; rendering an opinion concerning diagnosis or treatment; or offering service, assistance or advice.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conduct” </w:t>
      </w:r>
      <w:r>
        <w:rPr>
          <w:rFonts w:ascii="Times New Roman" w:hAnsi="Times New Roman"/>
          <w:b w:val="false"/>
          <w:i w:val="false"/>
          <w:color w:val="000000"/>
          <w:sz w:val="22"/>
        </w:rPr>
        <w:t xml:space="preserve">means behavior that adheres to the practice standards set out in rule </w:t>
      </w:r>
      <w:hyperlink r:id="rId7">
        <w:r>
          <w:rPr>
            <w:rStyle w:val="Hyperlink"/>
            <w:rFonts w:ascii="Times New Roman" w:hAnsi="Times New Roman"/>
            <w:b w:val="false"/>
            <w:i w:val="false"/>
            <w:color w:val="000000"/>
            <w:sz w:val="22"/>
          </w:rPr>
          <w:t>481—623.3</w:t>
        </w:r>
      </w:hyperlink>
      <w:r>
        <w:rPr>
          <w:rFonts w:ascii="Times New Roman" w:hAnsi="Times New Roman"/>
          <w:b w:val="false"/>
          <w:i w:val="false"/>
          <w:color w:val="000000"/>
          <w:sz w:val="22"/>
        </w:rPr>
        <w:t>(148I).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“Unprofessional conduct” </w:t>
      </w:r>
      <w:r>
        <w:rPr>
          <w:rFonts w:ascii="Times New Roman" w:hAnsi="Times New Roman"/>
          <w:b w:val="false"/>
          <w:i w:val="false"/>
          <w:color w:val="000000"/>
          <w:sz w:val="22"/>
        </w:rPr>
        <w:t xml:space="preserve">means unethical conduct, including but not limited to acts or behavior that is inconsistent with Iowa Code chapter </w:t>
      </w:r>
      <w:hyperlink r:id="rId8">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 xml:space="preserve"> or any violations of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481—623.2</w:t>
      </w:r>
      <w:r>
        <w:rPr>
          <w:rFonts w:ascii="Times New Roman" w:hAnsi="Times New Roman"/>
          <w:b/>
          <w:i w:val="false"/>
          <w:color w:val="000000"/>
          <w:sz w:val="22"/>
        </w:rPr>
        <w:t xml:space="preserve">(148I) </w:t>
      </w:r>
      <w:r>
        <w:rPr>
          <w:rFonts w:ascii="Times New Roman" w:hAnsi="Times New Roman"/>
          <w:b/>
          <w:i w:val="false"/>
          <w:color w:val="000000"/>
          <w:sz w:val="22"/>
        </w:rPr>
        <w:t xml:space="preserve">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623.2(1)</w:t>
      </w:r>
      <w:r>
        <w:rPr>
          <w:rFonts w:ascii="Times New Roman" w:hAnsi="Times New Roman"/>
          <w:b w:val="false"/>
          <w:i w:val="false"/>
          <w:color w:val="000000"/>
          <w:sz w:val="22"/>
        </w:rPr>
        <w:t> </w:t>
      </w:r>
      <w:r>
        <w:rPr>
          <w:rFonts w:ascii="Times New Roman" w:hAnsi="Times New Roman"/>
          <w:b w:val="false"/>
          <w:i/>
          <w:color w:val="000000"/>
          <w:sz w:val="22"/>
        </w:rPr>
        <w:t xml:space="preserve">Initial license. </w:t>
      </w:r>
      <w:r>
        <w:rPr>
          <w:rFonts w:ascii="Times New Roman" w:hAnsi="Times New Roman"/>
          <w:b w:val="false"/>
          <w:i w:val="false"/>
          <w:color w:val="000000"/>
          <w:sz w:val="22"/>
        </w:rPr>
        <w:t>An individual seeking initial licensure as a certified professional midwife (CPM) will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dated copy of the applicant’s current certification issued by the North American Registry of Midwives or its successor organization, including the applicant’s education or midwifery bridge certificate in accordance with Iowa Code section </w:t>
      </w:r>
      <w:hyperlink r:id="rId9">
        <w:r>
          <w:rPr>
            <w:rStyle w:val="Hyperlink"/>
            <w:rFonts w:ascii="Times New Roman" w:hAnsi="Times New Roman"/>
            <w:b w:val="false"/>
            <w:i w:val="false"/>
            <w:color w:val="000000"/>
            <w:sz w:val="22"/>
          </w:rPr>
          <w:t>148I.2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official transcript or certificate denoting the date of high school graduation and diploma or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dated certificate of completion of mandatory reporter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plan in accordance with Iowa Code section </w:t>
      </w:r>
      <w:hyperlink r:id="rId10">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Two completed fingerprint cards and a signed waiver form to facilitate a national criminal history background check.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has a criminal history, a copy of all documents required by rule </w:t>
      </w:r>
      <w:hyperlink r:id="rId11">
        <w:r>
          <w:rPr>
            <w:rStyle w:val="Hyperlink"/>
            <w:rFonts w:ascii="Times New Roman" w:hAnsi="Times New Roman"/>
            <w:b w:val="false"/>
            <w:i w:val="false"/>
            <w:color w:val="000000"/>
            <w:sz w:val="22"/>
          </w:rPr>
          <w:t>481—617.11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623.2(2)</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 </w:t>
      </w:r>
      <w:r>
        <w:rPr>
          <w:rFonts w:ascii="Times New Roman" w:hAnsi="Times New Roman"/>
          <w:b w:val="false"/>
          <w:i w:val="false"/>
          <w:color w:val="000000"/>
          <w:sz w:val="22"/>
        </w:rPr>
        <w:t>A CPM license may be renewed beginning 60 days prior to the license expiration date and ending 30 days after the license expiration date. To renew, a licensee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dated copy of the applicant’s current certification issued by the North American Registry of Midwives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Attestation of fulfillment of the continuing education and peer review requirements established by the North American Registry of Midwives or its successor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Attestation of reporting client data to the department of health and human services by way of filing the paperwork required to obtain a birth certificate in accordance with Iowa Code section </w:t>
      </w:r>
      <w:hyperlink r:id="rId12">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623.2(3)</w:t>
      </w: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Failure to renew a CPM license within 30 days after its expiration will result in an inactive CPM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work as a CPM with an inactive CPM license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reactivate the license, the licensee must complete the license renewal process established in subrule </w:t>
      </w:r>
      <w:hyperlink r:id="rId13">
        <w:r>
          <w:rPr>
            <w:rStyle w:val="Hyperlink"/>
            <w:rFonts w:ascii="Times New Roman" w:hAnsi="Times New Roman"/>
            <w:b w:val="false"/>
            <w:i w:val="false"/>
            <w:color w:val="000000"/>
            <w:sz w:val="22"/>
          </w:rPr>
          <w:t>623.2(2)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following fees apply to licensure for CPMs.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fee for an initial license is $81 for a period of licensure up to three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Evaluation fee of the fingerprint cards and the criminal history background check by the Federal Bureau of Investigation (FBI) and the state division of criminal investigation (DCI)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Fee for renewal of license to practice as a CPM is $81.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Fee for late renewal of a license to practice as a CPM is $50, plus the renewal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 for reactivation of a license to practice as a CPM is $81 for any period of licensure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All other fees are the same as defined in rule </w:t>
      </w:r>
      <w:hyperlink r:id="rId14">
        <w:r>
          <w:rPr>
            <w:rStyle w:val="Hyperlink"/>
            <w:rFonts w:ascii="Times New Roman" w:hAnsi="Times New Roman"/>
            <w:b w:val="false"/>
            <w:i w:val="false"/>
            <w:color w:val="000000"/>
            <w:sz w:val="22"/>
          </w:rPr>
          <w:t>481—617.1</w:t>
        </w:r>
      </w:hyperlink>
      <w:r>
        <w:rPr>
          <w:rFonts w:ascii="Times New Roman" w:hAnsi="Times New Roman"/>
          <w:b w:val="false"/>
          <w:i w:val="false"/>
          <w:color w:val="000000"/>
          <w:sz w:val="22"/>
        </w:rPr>
        <w:t>(148I).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623.2(5)</w:t>
      </w:r>
      <w:r>
        <w:rPr>
          <w:rFonts w:ascii="Times New Roman" w:hAnsi="Times New Roman"/>
          <w:b w:val="false"/>
          <w:i w:val="false"/>
          <w:color w:val="000000"/>
          <w:sz w:val="22"/>
        </w:rPr>
        <w:t> </w:t>
      </w:r>
      <w:r>
        <w:rPr>
          <w:rFonts w:ascii="Times New Roman" w:hAnsi="Times New Roman"/>
          <w:b w:val="false"/>
          <w:i/>
          <w:color w:val="000000"/>
          <w:sz w:val="22"/>
        </w:rPr>
        <w:t xml:space="preserve">Exceptions to licensure. </w:t>
      </w:r>
      <w:r>
        <w:rPr>
          <w:rFonts w:ascii="Times New Roman" w:hAnsi="Times New Roman"/>
          <w:b w:val="false"/>
          <w:i w:val="false"/>
          <w:color w:val="000000"/>
          <w:sz w:val="22"/>
        </w:rPr>
        <w:t xml:space="preserve">Exceptions to licensure are established in Iowa Code section </w:t>
      </w:r>
      <w:hyperlink r:id="rId15">
        <w:r>
          <w:rPr>
            <w:rStyle w:val="Hyperlink"/>
            <w:rFonts w:ascii="Times New Roman" w:hAnsi="Times New Roman"/>
            <w:b w:val="false"/>
            <w:i w:val="false"/>
            <w:color w:val="000000"/>
            <w:sz w:val="22"/>
          </w:rPr>
          <w:t>148I.3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481—623.3</w:t>
      </w:r>
      <w:r>
        <w:rPr>
          <w:rFonts w:ascii="Times New Roman" w:hAnsi="Times New Roman"/>
          <w:b/>
          <w:i w:val="false"/>
          <w:color w:val="000000"/>
          <w:sz w:val="22"/>
        </w:rPr>
        <w:t xml:space="preserve">(148I) </w:t>
      </w:r>
      <w:r>
        <w:rPr>
          <w:rFonts w:ascii="Times New Roman" w:hAnsi="Times New Roman"/>
          <w:b/>
          <w:i w:val="false"/>
          <w:color w:val="000000"/>
          <w:sz w:val="22"/>
        </w:rPr>
        <w:t xml:space="preserve">Practice standards. </w:t>
      </w:r>
      <w:r>
        <w:rPr>
          <w:rFonts w:ascii="Times New Roman" w:hAnsi="Times New Roman"/>
          <w:b w:val="false"/>
          <w:i w:val="false"/>
          <w:color w:val="000000"/>
          <w:sz w:val="22"/>
        </w:rPr>
        <w:t xml:space="preserve">A CPM shall practice within the legal boundaries for certified professional midwifery as set forth in Iowa Code chapter </w:t>
      </w:r>
      <w:hyperlink r:id="rId16">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 this chapter, and any other pertinent law or regulation. A licensed CPM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practice standards accepted by the North American Registry of Midwives as defined by the National Association of Certified Professional Midwives (NACPM) or its successor organization, as of February 1, 2024, found at </w:t>
      </w:r>
      <w:hyperlink r:id="rId17">
        <w:r>
          <w:rPr>
            <w:rStyle w:val="Hyperlink"/>
            <w:rFonts w:ascii="Times New Roman" w:hAnsi="Times New Roman"/>
            <w:b w:val="false"/>
            <w:i w:val="false"/>
            <w:color w:val="000000"/>
            <w:sz w:val="22"/>
            <w:u w:val="single"/>
          </w:rPr>
          <w:t>nacpm.org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623.3(2)</w:t>
      </w:r>
      <w:r>
        <w:rPr>
          <w:rFonts w:ascii="Times New Roman" w:hAnsi="Times New Roman"/>
          <w:b w:val="false"/>
          <w:i w:val="false"/>
          <w:color w:val="000000"/>
          <w:sz w:val="22"/>
        </w:rPr>
        <w:t> </w:t>
      </w:r>
      <w:r>
        <w:rPr>
          <w:rFonts w:ascii="Times New Roman" w:hAnsi="Times New Roman"/>
          <w:b w:val="false"/>
          <w:i w:val="false"/>
          <w:color w:val="000000"/>
          <w:sz w:val="22"/>
        </w:rPr>
        <w:t>Demonstrate professionalism and accountability in the practice of certified professional midwifery,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Demonstrating honesty and integrity in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Basing decisions in practice on knowledge, judgment, skills, and the needs of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competence through completion of the continuing education requirements in subrule </w:t>
      </w:r>
      <w:hyperlink r:id="rId18">
        <w:r>
          <w:rPr>
            <w:rStyle w:val="Hyperlink"/>
            <w:rFonts w:ascii="Times New Roman" w:hAnsi="Times New Roman"/>
            <w:b w:val="false"/>
            <w:i w:val="false"/>
            <w:color w:val="000000"/>
            <w:sz w:val="22"/>
          </w:rPr>
          <w:t>623.2(2)</w:t>
        </w:r>
      </w:hyperlink>
      <w:r>
        <w:rPr>
          <w:rFonts w:ascii="Times New Roman" w:hAnsi="Times New Roman"/>
          <w:b w:val="false"/>
          <w:i w:val="false"/>
          <w:color w:val="000000"/>
          <w:sz w:val="22"/>
        </w:rPr>
        <w:t xml:space="preserve"> and application of such education in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Reporting to appropriate authorities instances of unsafe practice by a CPM.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Being accountable for judgments and individual actions as a CPM and competence, decisions, and behaviors in the practice of certified professional midwifery.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623.3(3)</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record of, and provide to each client orally and by written consent form, all information and consents in accordance with Iowa Code section </w:t>
      </w:r>
      <w:hyperlink r:id="rId19">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623.3(4)</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Iowa Code sections </w:t>
      </w:r>
      <w:hyperlink r:id="rId20">
        <w:r>
          <w:rPr>
            <w:rStyle w:val="Hyperlink"/>
            <w:rFonts w:ascii="Times New Roman" w:hAnsi="Times New Roman"/>
            <w:b w:val="false"/>
            <w:i w:val="false"/>
            <w:color w:val="000000"/>
            <w:sz w:val="22"/>
          </w:rPr>
          <w:t>136A.6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136A.5A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623.3(5)</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birth certificate for each birth in accordance with Iowa Code section </w:t>
      </w:r>
      <w:hyperlink r:id="rId22">
        <w:r>
          <w:rPr>
            <w:rStyle w:val="Hyperlink"/>
            <w:rFonts w:ascii="Times New Roman" w:hAnsi="Times New Roman"/>
            <w:b w:val="false"/>
            <w:i w:val="false"/>
            <w:color w:val="000000"/>
            <w:sz w:val="22"/>
          </w:rPr>
          <w:t>148I.4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623.3(6)</w:t>
      </w:r>
      <w:r>
        <w:rPr>
          <w:rFonts w:ascii="Times New Roman" w:hAnsi="Times New Roman"/>
          <w:b w:val="false"/>
          <w:i w:val="false"/>
          <w:color w:val="000000"/>
          <w:sz w:val="22"/>
        </w:rPr>
        <w:t> </w:t>
      </w:r>
      <w:r>
        <w:rPr>
          <w:rFonts w:ascii="Times New Roman" w:hAnsi="Times New Roman"/>
          <w:b w:val="false"/>
          <w:i w:val="false"/>
          <w:color w:val="000000"/>
          <w:sz w:val="22"/>
        </w:rPr>
        <w:t>Consult with a licensed physician or certified nurse midwife for high-risk pregnancies and births.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CPM shall consult with a licensed physician or a certified nurse midwife providing obstetrical care whenever there are significant deviations, including but not limited to abnormal laboratory results, relative to a client’s pregnancy or to a neonate. If a referral to a physician is needed, the CPM shall refer the client to a physician and, if possible, remain in consultation with the physician until resolution of the concern.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CPM shall consult with a licensed physician or certified nurse midwife with regard to any mother who presents with or develops the following risk factors or presents with or develops other risk factors that in the judgment of the CPM warrant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Antepartum.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Pregnancy-induced hypertension, as evidenced by a blood pressure of at least 140/90 on two occasions greater than six hours apart.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Persistent, severe headaches; epigastric pain; or visual disturbances.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Persistent symptoms of urinary tract 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Significant vaginal bleeding before the onset of labor not associated with uncomplicated spontaneous abortion.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Rupture of membranes prior to the thirty-seventh week of gestation.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Noted abnormal decrease in or cessation of fetal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Anemia resistant to supplemental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Fever of 102°F or 39°C or greater for more than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Nonvertex presentation after 38 weeks of gestation.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Hyperemesis or significant dehydration.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Isoimmunization, Rh-negative sensitized, positive titers, or any other positive antibody titer that may have a detrimental effect on mother or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Elevated blood glucose level unresponsive to dietary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Positive HIV antibody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Primary genital herpes infection in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Symptoms of malnutrition, anorexia, protracted weight loss or failure to gain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Suspected deep vein thrombosis.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Documented placental anomaly or previa.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Documented low-lying placenta in a woman with a history of previous cesarean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Labor prior to the thirty-seventh week of gestation.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History of prior uterine incision.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Lie other than vertex at term.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Known fetal anomalies that may be affected by the site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Marked abnormal fetal heart tones.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Abnormal nonstress test or abnormal biophysical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Marked or severe polyhydramnios or oligohydramnios.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Evidence of intrauterine growth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Significant abnormal ultrasound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 xml:space="preserve">Gestation beyond 42 weeks by reliable confirmed dates.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Rise in blood pressure above baseline, more than 30/15 points or greater than 140/90.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Persistent, severe headaches; epigastric pain; or visual disturbances.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Significant proteinuria or ketonuria.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Fever over 100.6°F or 38°C in absence of environmental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Ruptured membranes without onset of established labor after 18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Significant bleeding prior to delivery or any abnormal bleeding, with or without abdominal pain; or evidence of placental abruption.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Lie not compatible with spontaneous vaginal delivery or unstable fetal lie.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Failure to progress after five hours of active labor or following two hours of active second-stage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Signs and symptoms of maternal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Active genital herpes at onset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Fetal heart tones with nonreassuring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Signs or symptoms of fetal distress.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Thick meconium or frank bleeding with birth not imminent.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Client or CPM desires physician consultation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void within six hours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Signs or symptoms of maternal shock.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Febrile: 102°F or 39°C and unresponsive to therapy for 12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Abnormal lochia or signs or symptoms of uterine sepsis.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Suspected deep vein thrombosis.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Signs of clinically significant depression.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CPM shall consult with a licensed physician or certified nurse midwife with regard to any neonate who is born with or develops the following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Apgar score of six or less at five minutes without significant improvement by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Persistent grunting respirations or retractions.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Persistent cardiac irregularities.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Persistent central cyanosis or pallor.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Persistent lethargy or poor muscle tone.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Abnormal cry.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Birth weight less than 2,300 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Jitteriness or seizures.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Jaundice occurring before 24 hours or outside of normal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Failure to urinate within 24 hours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Failure to pass meconium within 48 hours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Edema.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Prolonged temperature instability.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Significant signs or symptoms of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Significant clinical evidence of glycemic instability.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Abnormal, bulging, or depressed fontanel.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Significant clinical evidence of prematurity.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Medically significant congenital anomalies.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Significant or suspected birth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Persistent inability to suck.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Diminished consciousness.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Clinically significant abnormalities in vital signs, muscle tone or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Clinically significant color abnormality, cyanotic, or pale or abnormal perfusion.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Abdominal distension or projectile vomiting.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 xml:space="preserve">Signs of clinically significant dehydration or failure to thrive.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623.3(7)</w:t>
      </w:r>
      <w:r>
        <w:rPr>
          <w:rFonts w:ascii="Times New Roman" w:hAnsi="Times New Roman"/>
          <w:b w:val="false"/>
          <w:i w:val="false"/>
          <w:color w:val="000000"/>
          <w:sz w:val="22"/>
        </w:rPr>
        <w:t> </w:t>
      </w:r>
      <w:r>
        <w:rPr>
          <w:rFonts w:ascii="Times New Roman" w:hAnsi="Times New Roman"/>
          <w:b w:val="false"/>
          <w:i w:val="false"/>
          <w:color w:val="000000"/>
          <w:sz w:val="22"/>
        </w:rPr>
        <w:t xml:space="preserve">Not use forceps or a vacuum extractor in accordance with Iowa Code section </w:t>
      </w:r>
      <w:hyperlink r:id="rId23">
        <w:r>
          <w:rPr>
            <w:rStyle w:val="Hyperlink"/>
            <w:rFonts w:ascii="Times New Roman" w:hAnsi="Times New Roman"/>
            <w:b w:val="false"/>
            <w:i w:val="false"/>
            <w:color w:val="000000"/>
            <w:sz w:val="22"/>
          </w:rPr>
          <w:t>148I.4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481—623.4</w:t>
      </w:r>
      <w:r>
        <w:rPr>
          <w:rFonts w:ascii="Times New Roman" w:hAnsi="Times New Roman"/>
          <w:b/>
          <w:i w:val="false"/>
          <w:color w:val="000000"/>
          <w:sz w:val="22"/>
        </w:rPr>
        <w:t xml:space="preserve">(148I) </w:t>
      </w:r>
      <w:r>
        <w:rPr>
          <w:rFonts w:ascii="Times New Roman" w:hAnsi="Times New Roman"/>
          <w:b/>
          <w:i w:val="false"/>
          <w:color w:val="000000"/>
          <w:sz w:val="22"/>
        </w:rPr>
        <w:t xml:space="preserve">Delegation to another CPM. </w:t>
      </w:r>
      <w:r>
        <w:rPr>
          <w:rFonts w:ascii="Times New Roman" w:hAnsi="Times New Roman"/>
          <w:b w:val="false"/>
          <w:i w:val="false"/>
          <w:color w:val="000000"/>
          <w:sz w:val="22"/>
        </w:rPr>
        <w:t>The CPM shall apply the delegation process when delegating to another CPM by: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623.4(1)</w:t>
      </w:r>
      <w:r>
        <w:rPr>
          <w:rFonts w:ascii="Times New Roman" w:hAnsi="Times New Roman"/>
          <w:b w:val="false"/>
          <w:i w:val="false"/>
          <w:color w:val="000000"/>
          <w:sz w:val="22"/>
        </w:rPr>
        <w:t> </w:t>
      </w:r>
      <w:r>
        <w:rPr>
          <w:rFonts w:ascii="Times New Roman" w:hAnsi="Times New Roman"/>
          <w:b w:val="false"/>
          <w:i w:val="false"/>
          <w:color w:val="000000"/>
          <w:sz w:val="22"/>
        </w:rPr>
        <w:t>Delegating only those midwifery tasks that fall within the delegate’s scope of practice, education,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623.4(2)</w:t>
      </w:r>
      <w:r>
        <w:rPr>
          <w:rFonts w:ascii="Times New Roman" w:hAnsi="Times New Roman"/>
          <w:b w:val="false"/>
          <w:i w:val="false"/>
          <w:color w:val="000000"/>
          <w:sz w:val="22"/>
        </w:rPr>
        <w:t> </w:t>
      </w:r>
      <w:r>
        <w:rPr>
          <w:rFonts w:ascii="Times New Roman" w:hAnsi="Times New Roman"/>
          <w:b w:val="false"/>
          <w:i w:val="false"/>
          <w:color w:val="000000"/>
          <w:sz w:val="22"/>
        </w:rPr>
        <w:t>Matching the client’s needs and circumstances with the delegate’s qualifications and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623.4(3)</w:t>
      </w:r>
      <w:r>
        <w:rPr>
          <w:rFonts w:ascii="Times New Roman" w:hAnsi="Times New Roman"/>
          <w:b w:val="false"/>
          <w:i w:val="false"/>
          <w:color w:val="000000"/>
          <w:sz w:val="22"/>
        </w:rPr>
        <w:t> </w:t>
      </w:r>
      <w:r>
        <w:rPr>
          <w:rFonts w:ascii="Times New Roman" w:hAnsi="Times New Roman"/>
          <w:b w:val="false"/>
          <w:i w:val="false"/>
          <w:color w:val="000000"/>
          <w:sz w:val="22"/>
        </w:rPr>
        <w:t>Communicating directions and expectations for completion of the delegated activity and receiving confirmation of understanding of the communication from the delegate.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623.4(4)</w:t>
      </w:r>
      <w:r>
        <w:rPr>
          <w:rFonts w:ascii="Times New Roman" w:hAnsi="Times New Roman"/>
          <w:b w:val="false"/>
          <w:i w:val="false"/>
          <w:color w:val="000000"/>
          <w:sz w:val="22"/>
        </w:rPr>
        <w:t> </w:t>
      </w:r>
      <w:r>
        <w:rPr>
          <w:rFonts w:ascii="Times New Roman" w:hAnsi="Times New Roman"/>
          <w:b w:val="false"/>
          <w:i w:val="false"/>
          <w:color w:val="000000"/>
          <w:sz w:val="22"/>
        </w:rPr>
        <w:t>Monitoring performance, progress and outcomes and ensuring appropriate documentation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623.4(5)</w:t>
      </w:r>
      <w:r>
        <w:rPr>
          <w:rFonts w:ascii="Times New Roman" w:hAnsi="Times New Roman"/>
          <w:b w:val="false"/>
          <w:i w:val="false"/>
          <w:color w:val="000000"/>
          <w:sz w:val="22"/>
        </w:rPr>
        <w:t> </w:t>
      </w:r>
      <w:r>
        <w:rPr>
          <w:rFonts w:ascii="Times New Roman" w:hAnsi="Times New Roman"/>
          <w:b w:val="false"/>
          <w:i w:val="false"/>
          <w:color w:val="000000"/>
          <w:sz w:val="22"/>
        </w:rPr>
        <w:t>Evaluating client outcomes as a result of the delegation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623.4(6)</w:t>
      </w:r>
      <w:r>
        <w:rPr>
          <w:rFonts w:ascii="Times New Roman" w:hAnsi="Times New Roman"/>
          <w:b w:val="false"/>
          <w:i w:val="false"/>
          <w:color w:val="000000"/>
          <w:sz w:val="22"/>
        </w:rPr>
        <w:t> </w:t>
      </w:r>
      <w:r>
        <w:rPr>
          <w:rFonts w:ascii="Times New Roman" w:hAnsi="Times New Roman"/>
          <w:b w:val="false"/>
          <w:i w:val="false"/>
          <w:color w:val="000000"/>
          <w:sz w:val="22"/>
        </w:rPr>
        <w:t>Intervening when problems are identified and revising plan of care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623.4(7)</w:t>
      </w:r>
      <w:r>
        <w:rPr>
          <w:rFonts w:ascii="Times New Roman" w:hAnsi="Times New Roman"/>
          <w:b w:val="false"/>
          <w:i w:val="false"/>
          <w:color w:val="000000"/>
          <w:sz w:val="22"/>
        </w:rPr>
        <w:t> </w:t>
      </w:r>
      <w:r>
        <w:rPr>
          <w:rFonts w:ascii="Times New Roman" w:hAnsi="Times New Roman"/>
          <w:b w:val="false"/>
          <w:i w:val="false"/>
          <w:color w:val="000000"/>
          <w:sz w:val="22"/>
        </w:rPr>
        <w:t>Retaining accountability for properly implementing the delegation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623.4(8)</w:t>
      </w:r>
      <w:r>
        <w:rPr>
          <w:rFonts w:ascii="Times New Roman" w:hAnsi="Times New Roman"/>
          <w:b w:val="false"/>
          <w:i w:val="false"/>
          <w:color w:val="000000"/>
          <w:sz w:val="22"/>
        </w:rPr>
        <w:t> </w:t>
      </w:r>
      <w:r>
        <w:rPr>
          <w:rFonts w:ascii="Times New Roman" w:hAnsi="Times New Roman"/>
          <w:b w:val="false"/>
          <w:i w:val="false"/>
          <w:color w:val="000000"/>
          <w:sz w:val="22"/>
        </w:rPr>
        <w:t>Promoting a safe and therapeutic environment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appropriate monitoring of the care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Identifying unsafe care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Correcting problems or referring problems to a physician as described in Iowa Code section </w:t>
      </w:r>
      <w:hyperlink r:id="rId24">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 xml:space="preserve"> or advanced registered nurse practitioner as defined in Iowa Code section </w:t>
      </w:r>
      <w:hyperlink r:id="rId25">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481—623.5</w:t>
      </w:r>
      <w:r>
        <w:rPr>
          <w:rFonts w:ascii="Times New Roman" w:hAnsi="Times New Roman"/>
          <w:b/>
          <w:i w:val="false"/>
          <w:color w:val="000000"/>
          <w:sz w:val="22"/>
        </w:rPr>
        <w:t xml:space="preserve">(148I) </w:t>
      </w:r>
      <w:r>
        <w:rPr>
          <w:rFonts w:ascii="Times New Roman" w:hAnsi="Times New Roman"/>
          <w:b/>
          <w:i w:val="false"/>
          <w:color w:val="000000"/>
          <w:sz w:val="22"/>
        </w:rPr>
        <w:t xml:space="preserve">Testing and 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623.5(1)</w:t>
      </w:r>
      <w:r>
        <w:rPr>
          <w:rFonts w:ascii="Times New Roman" w:hAnsi="Times New Roman"/>
          <w:b w:val="false"/>
          <w:i w:val="false"/>
          <w:color w:val="000000"/>
          <w:sz w:val="22"/>
        </w:rPr>
        <w:t> </w:t>
      </w:r>
      <w:r>
        <w:rPr>
          <w:rFonts w:ascii="Times New Roman" w:hAnsi="Times New Roman"/>
          <w:b w:val="false"/>
          <w:i w:val="false"/>
          <w:color w:val="000000"/>
          <w:sz w:val="22"/>
        </w:rPr>
        <w:t>A licensee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and administer drugs in accordance with Iowa Code section </w:t>
      </w:r>
      <w:hyperlink r:id="rId26">
        <w:r>
          <w:rPr>
            <w:rStyle w:val="Hyperlink"/>
            <w:rFonts w:ascii="Times New Roman" w:hAnsi="Times New Roman"/>
            <w:b w:val="false"/>
            <w:i w:val="false"/>
            <w:color w:val="000000"/>
            <w:sz w:val="22"/>
          </w:rPr>
          <w:t>148I.4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and administer the following drugs approved by the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Pyridoxine (vitamin B6) IM or IV for treatment of hyperemesis;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Terbutaline for cord prolapse;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Nifedipine for eclampsia.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board approval to obtain and administer other drugs, not otherwise stated in Iowa Code section </w:t>
      </w:r>
      <w:hyperlink r:id="rId27">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“d,”</w:t>
      </w:r>
      <w:r>
        <w:rPr>
          <w:rFonts w:ascii="Times New Roman" w:hAnsi="Times New Roman"/>
          <w:b w:val="false"/>
          <w:i w:val="false"/>
          <w:color w:val="000000"/>
          <w:sz w:val="22"/>
        </w:rPr>
        <w:t xml:space="preserve"> consistent with the practice of certified professional midwifery.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appropriate screening and testing for clients in accordance with Iowa Code section </w:t>
      </w:r>
      <w:hyperlink r:id="rId28">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prescription drugs prescribed by a licensed health care provider to a client in accordance with Iowa Code section </w:t>
      </w:r>
      <w:hyperlink r:id="rId29">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623.5(2)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dispenses or administers controlled substances must adhere to </w:t>
      </w:r>
      <w:hyperlink r:id="rId30">
        <w:r>
          <w:rPr>
            <w:rStyle w:val="Hyperlink"/>
            <w:rFonts w:ascii="Times New Roman" w:hAnsi="Times New Roman"/>
            <w:b w:val="false"/>
            <w:i w:val="false"/>
            <w:color w:val="000000"/>
            <w:sz w:val="22"/>
          </w:rPr>
          <w:t>481—Chapter 553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623.5(3)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following the standards of practice for treating a client described in rule </w:t>
      </w:r>
      <w:hyperlink r:id="rId31">
        <w:r>
          <w:rPr>
            <w:rStyle w:val="Hyperlink"/>
            <w:rFonts w:ascii="Times New Roman" w:hAnsi="Times New Roman"/>
            <w:b w:val="false"/>
            <w:i w:val="false"/>
            <w:color w:val="000000"/>
            <w:sz w:val="22"/>
          </w:rPr>
          <w:t>481—623.3</w:t>
        </w:r>
      </w:hyperlink>
      <w:r>
        <w:rPr>
          <w:rFonts w:ascii="Times New Roman" w:hAnsi="Times New Roman"/>
          <w:b w:val="false"/>
          <w:i w:val="false"/>
          <w:color w:val="000000"/>
          <w:sz w:val="22"/>
        </w:rPr>
        <w:t>(148I), a licensee who administers a controlled substance shall practice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client’s health history will include a personal and family substance abuse risk assessment performed by a licensed prescribing health care provider or the documented rationale for not performing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client’s health record must include documentation of the presence of one or more recognized indications for the use of a controlled substance.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who administers any controlled substance will maintain an active Drug Enforcement Administration (DEA) registration and active controlled substances Act (CSA) registration when required by the DEA and the board of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481—623.6</w:t>
      </w:r>
      <w:r>
        <w:rPr>
          <w:rFonts w:ascii="Times New Roman" w:hAnsi="Times New Roman"/>
          <w:b/>
          <w:i w:val="false"/>
          <w:color w:val="000000"/>
          <w:sz w:val="22"/>
        </w:rPr>
        <w:t xml:space="preserve">(148I) </w:t>
      </w:r>
      <w:r>
        <w:rPr>
          <w:rFonts w:ascii="Times New Roman" w:hAnsi="Times New Roman"/>
          <w:b/>
          <w:i w:val="false"/>
          <w:color w:val="000000"/>
          <w:sz w:val="22"/>
        </w:rPr>
        <w:t xml:space="preserve">Discipline. </w:t>
      </w:r>
      <w:r>
        <w:rPr>
          <w:rFonts w:ascii="Times New Roman" w:hAnsi="Times New Roman"/>
          <w:b w:val="false"/>
          <w:i w:val="false"/>
          <w:color w:val="000000"/>
          <w:sz w:val="22"/>
        </w:rPr>
        <w:t xml:space="preserve">A licensee may be disciplined for failure to comply with Iowa Code chapter </w:t>
      </w:r>
      <w:hyperlink r:id="rId32">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 xml:space="preserve"> or this chapter or for any wrongful act or omission related to the licensee’s practice, licensure, or professional conduct,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3">
        <w:r>
          <w:rPr>
            <w:rStyle w:val="Hyperlink"/>
            <w:rFonts w:ascii="Times New Roman" w:hAnsi="Times New Roman"/>
            <w:b w:val="false"/>
            <w:i w:val="false"/>
            <w:color w:val="000000"/>
            <w:sz w:val="22"/>
          </w:rPr>
          <w:t>147.55(1)</w:t>
        </w:r>
      </w:hyperlink>
      <w:r>
        <w:rPr>
          <w:rFonts w:ascii="Times New Roman" w:hAnsi="Times New Roman"/>
          <w:b w:val="false"/>
          <w:i w:val="false"/>
          <w:color w:val="000000"/>
          <w:sz w:val="22"/>
        </w:rPr>
        <w:t>, behavior that constitutes fraud in procuring a license that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Falsification of the application, certification, or records submitted to the board for licensure or license renewal as a CPM.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Fraud, misrepresentation, or deceit in taking the licensing examination or in obtaining a license as a CPM.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623.6(2)</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4">
        <w:r>
          <w:rPr>
            <w:rStyle w:val="Hyperlink"/>
            <w:rFonts w:ascii="Times New Roman" w:hAnsi="Times New Roman"/>
            <w:b w:val="false"/>
            <w:i w:val="false"/>
            <w:color w:val="000000"/>
            <w:sz w:val="22"/>
          </w:rPr>
          <w:t>147.55(2)</w:t>
        </w:r>
      </w:hyperlink>
      <w:r>
        <w:rPr>
          <w:rFonts w:ascii="Times New Roman" w:hAnsi="Times New Roman"/>
          <w:b w:val="false"/>
          <w:i w:val="false"/>
          <w:color w:val="000000"/>
          <w:sz w:val="22"/>
        </w:rPr>
        <w:t>, professional incompetency that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Lack of knowledge, skill, or ability to discharge professional obligations within the scope of the practice of midwifery.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Deviation by the licensee from the standards of learning, education, or skill ordinarily possessed and applied by other CPMs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departure from or failure to form to the minimum standards of acceptable and prevailing practice of midwifery in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5">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(i.e., acts, knowledge, and practices) that constitutes unethical conduct or practice harmful or detrimental to the public that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Engaging in practice contradictory to NACPM standards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Performing services beyond the authorized scope of practice for which the individual is licensed or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Allowing another person to use one’s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any rule promulgated by the board related to minimum standards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Improper delegation of services, functions or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Committing an act or omission that may adversely affect the physical or psychosocial welfare of the client.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Committing an act that causes physical, emotional, or financial injury to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Violating the confidentiality or privacy rights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Discriminating against a client because of age, sex, race, ethnicity, national origin, creed, illness, disability, sexual orientation, or economic or social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Failing to assess, accurately document, evaluate, or report the status of a client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Misappropriating or attempting to misappropriate medications, property, supplies, or equipment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Fraudulently or inappropriately using or permitting the use of prescriptions, obtaining or attempting to obtain prescription medications under false pretenses, or assisting others to obtain or attempt to obtain prescription medication under false pretenses.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Practicing midwifery while under the influence of alcohol, marijuana, or illicit drugs or while impaired by the use of pharmacological agents or medications, even if legitimately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Being involved in the unauthorized manufacture or distribution of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Being involved in the unauthorized possession or use of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Engaging in behavior that is contradictory to professional decorum.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report suspected wrongful acts or omissions committed by the licensee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Administering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an unsafe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Without accurately documenting the drug or without assessing, evaluating, or instructing the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individuals who are not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Failing to properly safeguard or secure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properly document or perform medication wastage.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623.6(4)</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6">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xml:space="preserve">, behavior (i.e., acts, knowledge, and practices) that constitutes unethical conduct or practice harmful or detrimental to the public that may include but need not be limited to the professional boundaries violations in paragraphs </w:t>
      </w:r>
      <w:hyperlink r:id="rId37">
        <w:r>
          <w:rPr>
            <w:rStyle w:val="Hyperlink"/>
            <w:rFonts w:ascii="Times New Roman" w:hAnsi="Times New Roman"/>
            <w:b w:val="false"/>
            <w:i w:val="false"/>
            <w:color w:val="000000"/>
            <w:sz w:val="22"/>
          </w:rPr>
          <w:t>623.6(4)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For purposes of this subrule, “client” includes the client and the client’s family that are present with the client while the client is under the care of the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Sexual contact with a client, regardless of the client’s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Making lewd, suggestive, demeaning, or otherwise sexual comments, regardless of client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Participating in, initiating, or attempting to initiate a sexual or emotional relationship with a client, regardless of client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Soliciting, borrowing, or misappropriating money or property from a client, regardless of client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in a sexual, emotional, social or business relationship with a former client when there is a risk of exploitation or harm to the client, regardless of client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623.6(5)</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8">
        <w:r>
          <w:rPr>
            <w:rStyle w:val="Hyperlink"/>
            <w:rFonts w:ascii="Times New Roman" w:hAnsi="Times New Roman"/>
            <w:b w:val="false"/>
            <w:i w:val="false"/>
            <w:color w:val="000000"/>
            <w:sz w:val="22"/>
          </w:rPr>
          <w:t>147.55(4)</w:t>
        </w:r>
      </w:hyperlink>
      <w:r>
        <w:rPr>
          <w:rFonts w:ascii="Times New Roman" w:hAnsi="Times New Roman"/>
          <w:b w:val="false"/>
          <w:i w:val="false"/>
          <w:color w:val="000000"/>
          <w:sz w:val="22"/>
        </w:rPr>
        <w:t>, habitual intoxication or addiction to the use of drugs that may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Excessive use of alcohol that may impair a licensee’s ability to practice the profession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Excessive use of drugs that may impair a licensee’s ability to practice the profession with reasonable skill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623.6(6)</w:t>
      </w:r>
      <w:r>
        <w:rPr>
          <w:rFonts w:ascii="Times New Roman" w:hAnsi="Times New Roman"/>
          <w:b w:val="false"/>
          <w:i w:val="false"/>
          <w:color w:val="000000"/>
          <w:sz w:val="22"/>
        </w:rPr>
        <w:t> </w:t>
      </w:r>
      <w:r>
        <w:rPr>
          <w:rFonts w:ascii="Times New Roman" w:hAnsi="Times New Roman"/>
          <w:b w:val="false"/>
          <w:i w:val="false"/>
          <w:color w:val="000000"/>
          <w:sz w:val="22"/>
        </w:rPr>
        <w:t xml:space="preserve">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An offense directly relates to the duties and responsibilities of the profession if the actions taken in furtherance of the offense are actions customarily performed within the scope of practice of the profession or if the circumstances under which the offense was committed are circumstances customary to the profession.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623.6(7)</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9">
        <w:r>
          <w:rPr>
            <w:rStyle w:val="Hyperlink"/>
            <w:rFonts w:ascii="Times New Roman" w:hAnsi="Times New Roman"/>
            <w:b w:val="false"/>
            <w:i w:val="false"/>
            <w:color w:val="000000"/>
            <w:sz w:val="22"/>
          </w:rPr>
          <w:t>147.55(5)</w:t>
        </w:r>
      </w:hyperlink>
      <w:r>
        <w:rPr>
          <w:rFonts w:ascii="Times New Roman" w:hAnsi="Times New Roman"/>
          <w:b w:val="false"/>
          <w:i w:val="false"/>
          <w:color w:val="000000"/>
          <w:sz w:val="22"/>
        </w:rPr>
        <w:t>, fraud in representation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623.6(8)</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40">
        <w:r>
          <w:rPr>
            <w:rStyle w:val="Hyperlink"/>
            <w:rFonts w:ascii="Times New Roman" w:hAnsi="Times New Roman"/>
            <w:b w:val="false"/>
            <w:i w:val="false"/>
            <w:color w:val="000000"/>
            <w:sz w:val="22"/>
          </w:rPr>
          <w:t>147.55(6)</w:t>
        </w:r>
      </w:hyperlink>
      <w:r>
        <w:rPr>
          <w:rFonts w:ascii="Times New Roman" w:hAnsi="Times New Roman"/>
          <w:b w:val="false"/>
          <w:i w:val="false"/>
          <w:color w:val="000000"/>
          <w:sz w:val="22"/>
        </w:rPr>
        <w:t>, use of untruthful or improbable statements in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623.6(9)</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41">
        <w:r>
          <w:rPr>
            <w:rStyle w:val="Hyperlink"/>
            <w:rFonts w:ascii="Times New Roman" w:hAnsi="Times New Roman"/>
            <w:b w:val="false"/>
            <w:i w:val="false"/>
            <w:color w:val="000000"/>
            <w:sz w:val="22"/>
          </w:rPr>
          <w:t>147.55(7)</w:t>
        </w:r>
      </w:hyperlink>
      <w:r>
        <w:rPr>
          <w:rFonts w:ascii="Times New Roman" w:hAnsi="Times New Roman"/>
          <w:b w:val="false"/>
          <w:i w:val="false"/>
          <w:color w:val="000000"/>
          <w:sz w:val="22"/>
        </w:rPr>
        <w:t xml:space="preserve">, willful or repeated violations of provisions of Iowa Code chapter </w:t>
      </w:r>
      <w:hyperlink r:id="rId4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 xml:space="preserve">, or </w:t>
      </w:r>
      <w:hyperlink r:id="rId4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623.6(10)</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45">
        <w:r>
          <w:rPr>
            <w:rStyle w:val="Hyperlink"/>
            <w:rFonts w:ascii="Times New Roman" w:hAnsi="Times New Roman"/>
            <w:b w:val="false"/>
            <w:i w:val="false"/>
            <w:color w:val="000000"/>
            <w:sz w:val="22"/>
          </w:rPr>
          <w:t>147.55(10)</w:t>
        </w:r>
      </w:hyperlink>
      <w:r>
        <w:rPr>
          <w:rFonts w:ascii="Times New Roman" w:hAnsi="Times New Roman"/>
          <w:b w:val="false"/>
          <w:i w:val="false"/>
          <w:color w:val="000000"/>
          <w:sz w:val="22"/>
        </w:rPr>
        <w:t>, other acts or offenses as specified by board rules,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provide written notification of a change of address to the board within 30 days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notify the board within 30 days from the date of the final decision in a disciplinary action taken by the licensing authority of another state,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notify the board of a criminal conviction within 30 days of the action, regardless of whether the judgment of conviction or sentence was deferred, and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submit an additional completed fingerprint packet as required and the applicable fee, when a previous fingerprint submission has been determined to be unacceptable, within 30 days of a request made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respond to the board during a board audit or submit verification of compliance with continuing education requirements or exceptions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Failing to respond to the board during a board audit or submit verification of compliance with training in child or dependent adult abuse identification and reporting or exceptions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respond to or comply with a board investigation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behavior that is threatening or harassing to the board, board staff, or agents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46">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or </w:t>
      </w:r>
      <w:hyperlink r:id="rId47">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midwifery in Iowa prior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midwifery in Iowa on an inactive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481—623.7</w:t>
      </w:r>
      <w:r>
        <w:rPr>
          <w:rFonts w:ascii="Times New Roman" w:hAnsi="Times New Roman"/>
          <w:b/>
          <w:i w:val="false"/>
          <w:color w:val="000000"/>
          <w:sz w:val="22"/>
        </w:rPr>
        <w:t xml:space="preserve">(148I) </w:t>
      </w:r>
      <w:r>
        <w:rPr>
          <w:rFonts w:ascii="Times New Roman" w:hAnsi="Times New Roman"/>
          <w:b/>
          <w:i w:val="false"/>
          <w:color w:val="000000"/>
          <w:sz w:val="22"/>
        </w:rPr>
        <w:t xml:space="preserve">Telehealth.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623.7(1)</w:t>
      </w:r>
      <w:r>
        <w:rPr>
          <w:rFonts w:ascii="Times New Roman" w:hAnsi="Times New Roman"/>
          <w:b w:val="false"/>
          <w:i w:val="false"/>
          <w:color w:val="000000"/>
          <w:sz w:val="22"/>
        </w:rPr>
        <w:t> </w:t>
      </w:r>
      <w:r>
        <w:rPr>
          <w:rFonts w:ascii="Times New Roman" w:hAnsi="Times New Roman"/>
          <w:b w:val="false"/>
          <w:i/>
          <w:color w:val="000000"/>
          <w:sz w:val="22"/>
        </w:rPr>
        <w:t xml:space="preserve">Telehealth permitted. </w:t>
      </w:r>
      <w:r>
        <w:rPr>
          <w:rFonts w:ascii="Times New Roman" w:hAnsi="Times New Roman"/>
          <w:b w:val="false"/>
          <w:i w:val="false"/>
          <w:color w:val="000000"/>
          <w:sz w:val="22"/>
        </w:rPr>
        <w:t>A CPM may, in accordance with all applicable laws and rules, provide services to a client through telehealth.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623.7(2)</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 xml:space="preserve">A CPM who provides services through telehealth to a client physically located in Iowa must be licensed by the board. A CPM who provides services through telehealth to a client physically located in another state shall be subject to the laws and jurisdiction of the state where the client is physically located.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623.7(3)</w:t>
      </w:r>
      <w:r>
        <w:rPr>
          <w:rFonts w:ascii="Times New Roman" w:hAnsi="Times New Roman"/>
          <w:b w:val="false"/>
          <w:i w:val="false"/>
          <w:color w:val="000000"/>
          <w:sz w:val="22"/>
        </w:rPr>
        <w:t> </w:t>
      </w:r>
      <w:r>
        <w:rPr>
          <w:rFonts w:ascii="Times New Roman" w:hAnsi="Times New Roman"/>
          <w:b w:val="false"/>
          <w:i/>
          <w:color w:val="000000"/>
          <w:sz w:val="22"/>
        </w:rPr>
        <w:t xml:space="preserve">Standard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CPM who provides services through telehealth shall be held to the same standard of care as is applicable to in-person settings. A CPM shall not perform any service via telehealth unless the same standard of care can be achieved as if the service were performed in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initiating contact with a client for the purpose of providing services to the client using telehealth, a CPM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the client’s history and all relevant medical records;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 as to each unique client encounter whether the CPM will be able to provide the same standard of care using telehealth as would be provided if the services were provided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623.7(4)</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 xml:space="preserve">A CPM who provides services through telehealth must ensure the services provided are consistent with the CPM’s scope of practice, education, training and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623.7(5)</w:t>
      </w:r>
      <w:r>
        <w:rPr>
          <w:rFonts w:ascii="Times New Roman" w:hAnsi="Times New Roman"/>
          <w:b w:val="false"/>
          <w:i w:val="false"/>
          <w:color w:val="000000"/>
          <w:sz w:val="22"/>
        </w:rPr>
        <w:t> </w:t>
      </w:r>
      <w:r>
        <w:rPr>
          <w:rFonts w:ascii="Times New Roman" w:hAnsi="Times New Roman"/>
          <w:b w:val="false"/>
          <w:i/>
          <w:color w:val="000000"/>
          <w:sz w:val="22"/>
        </w:rPr>
        <w:t xml:space="preserve">CPM-client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providing services through telehealth, the CPM shall first establish a CPM-client relationship. A CPM-client relationship is established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client seeks assistance from the CPM;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CPM agrees to provide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client agrees to be treated, or the client’s legal guardian or legal representative agrees to the client being treated, by the CPM regardless of whether there has been a previous in-person encounter between the CPM and the client.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CPM-client relationship can be established through an in-person encounter, consultation with another CPM or health care provider, or telehealth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paragraphs </w:t>
      </w:r>
      <w:hyperlink r:id="rId48">
        <w:r>
          <w:rPr>
            <w:rStyle w:val="Hyperlink"/>
            <w:rFonts w:ascii="Times New Roman" w:hAnsi="Times New Roman"/>
            <w:b w:val="false"/>
            <w:i w:val="false"/>
            <w:color w:val="000000"/>
            <w:sz w:val="22"/>
          </w:rPr>
          <w:t>623.7(5)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services may be provided through telehealth without first establishing a CPM-client relationship in the following settings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response to an emergency or disaster;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Via informal consultations with another health care provider performed by a CPM outside of the context of a contractual relationship, or on an irregular or infrequent basis, without the expectation or exchange of direct or indirect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substitute CPM acting on behalf and at the designation of an absent CPM in the same specialty on an on-call or cross-coverage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623.7(6)</w:t>
      </w:r>
      <w:r>
        <w:rPr>
          <w:rFonts w:ascii="Times New Roman" w:hAnsi="Times New Roman"/>
          <w:b w:val="false"/>
          <w:i w:val="false"/>
          <w:color w:val="000000"/>
          <w:sz w:val="22"/>
        </w:rPr>
        <w:t> </w:t>
      </w:r>
      <w:r>
        <w:rPr>
          <w:rFonts w:ascii="Times New Roman" w:hAnsi="Times New Roman"/>
          <w:b w:val="false"/>
          <w:i/>
          <w:color w:val="000000"/>
          <w:sz w:val="22"/>
        </w:rPr>
        <w:t xml:space="preserve">Consent to telehealth. </w:t>
      </w:r>
      <w:r>
        <w:rPr>
          <w:rFonts w:ascii="Times New Roman" w:hAnsi="Times New Roman"/>
          <w:b w:val="false"/>
          <w:i w:val="false"/>
          <w:color w:val="000000"/>
          <w:sz w:val="22"/>
        </w:rPr>
        <w:t>Prior to providing services via telehealth, the CPM shall obtain consent from the client, or the client’s legal guardian or legal representative, to receive services via telehealth.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623.7(7)</w:t>
      </w:r>
      <w:r>
        <w:rPr>
          <w:rFonts w:ascii="Times New Roman" w:hAnsi="Times New Roman"/>
          <w:b w:val="false"/>
          <w:i w:val="false"/>
          <w:color w:val="000000"/>
          <w:sz w:val="22"/>
        </w:rPr>
        <w:t> </w:t>
      </w:r>
      <w:r>
        <w:rPr>
          <w:rFonts w:ascii="Times New Roman" w:hAnsi="Times New Roman"/>
          <w:b w:val="false"/>
          <w:i/>
          <w:color w:val="000000"/>
          <w:sz w:val="22"/>
        </w:rPr>
        <w:t xml:space="preserve">Technology. </w:t>
      </w:r>
      <w:r>
        <w:rPr>
          <w:rFonts w:ascii="Times New Roman" w:hAnsi="Times New Roman"/>
          <w:b w:val="false"/>
          <w:i w:val="false"/>
          <w:color w:val="000000"/>
          <w:sz w:val="22"/>
        </w:rPr>
        <w:t>A CPM providing services through telehealth shall utilize technology that is secure and compliant with the Health Insurance Portability and Accountability Act (HIPAA), as effective June 19, 2024. The technology must be of sufficient quality, size, resolution, and clarity such that the CPM can safely and effectively provide the telehealth services and abide by the applicable standard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623.7(8)</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A CPM who provides services through telehealth shall maintain a record of the care provided to the client. Such records shall comply with all applicable laws, rules, and standards of care for recordkeeping, confidentiality, and disclosure of a client’s medical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623.7(9)</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 xml:space="preserve">A CPM who provides services through telehealth shall refer a client for follow-up care when required by the standard of care.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9">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8114C</w:t>
      </w:r>
      <w:r>
        <w:rPr>
          <w:rFonts w:ascii="Times New Roman" w:hAnsi="Times New Roman"/>
          <w:b w:val="false"/>
          <w:i w:val="false"/>
          <w:color w:val="000000"/>
          <w:sz w:val="21"/>
        </w:rPr>
        <w:t xml:space="preserve"> (Notice ARC 7935C, IAB 5/15/24)</w:t>
      </w:r>
      <w:r>
        <w:rPr>
          <w:rFonts w:ascii="Times New Roman" w:hAnsi="Times New Roman"/>
          <w:b w:val="false"/>
          <w:i w:val="false"/>
          <w:color w:val="000000"/>
          <w:sz w:val="21"/>
        </w:rPr>
        <w:t>, IAB 7/10/24, effective 6/19/24]</w:t>
      </w:r>
    </w:p>
    <w:p>
      <w:pPr>
        <w:spacing w:before="0" w:after="0"/>
        <w:ind w:left="120"/>
        <w:jc w:val="center"/>
      </w:pPr>
      <w:r>
        <w:rPr>
          <w:rFonts w:ascii="Times New Roman" w:hAnsi="Times New Roman"/>
          <w:b w:val="false"/>
          <w:i w:val="false"/>
          <w:color w:val="000000"/>
          <w:sz w:val="21"/>
        </w:rPr>
        <w:t>[Editorial change: IAC Supplement 6/11/25]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I.1.pdf" Type="http://schemas.openxmlformats.org/officeDocument/2006/relationships/hyperlink" Id="rId5"/>
    <Relationship TargetMode="External" Target="https://www.legis.iowa.gov/docs/ico/chapter/155A.3.pdf" Type="http://schemas.openxmlformats.org/officeDocument/2006/relationships/hyperlink" Id="rId6"/>
    <Relationship TargetMode="External" Target="https://www.legis.iowa.gov/docs/iac/rule/481.623.3.pdf" Type="http://schemas.openxmlformats.org/officeDocument/2006/relationships/hyperlink" Id="rId7"/>
    <Relationship TargetMode="External" Target="https://www.legis.iowa.gov/docs/ico/chapter/148I.pdf" Type="http://schemas.openxmlformats.org/officeDocument/2006/relationships/hyperlink" Id="rId8"/>
    <Relationship TargetMode="External" Target="https://www.legis.iowa.gov/docs/ico/chapter/148I.2.pdf" Type="http://schemas.openxmlformats.org/officeDocument/2006/relationships/hyperlink" Id="rId9"/>
    <Relationship TargetMode="External" Target="https://www.legis.iowa.gov/docs/ico/chapter/148I.4.pdf" Type="http://schemas.openxmlformats.org/officeDocument/2006/relationships/hyperlink" Id="rId10"/>
    <Relationship TargetMode="External" Target="https://www.legis.iowa.gov/docs/iac/rule/481.617.11.pdf" Type="http://schemas.openxmlformats.org/officeDocument/2006/relationships/hyperlink" Id="rId11"/>
    <Relationship TargetMode="External" Target="https://www.legis.iowa.gov/docs/ico/chapter/148I.4.pdf" Type="http://schemas.openxmlformats.org/officeDocument/2006/relationships/hyperlink" Id="rId12"/>
    <Relationship TargetMode="External" Target="https://www.legis.iowa.gov/docs/iac/rule/655.623.2.pdf" Type="http://schemas.openxmlformats.org/officeDocument/2006/relationships/hyperlink" Id="rId13"/>
    <Relationship TargetMode="External" Target="https://www.legis.iowa.gov/docs/iac/rule/481.617.1.pdf" Type="http://schemas.openxmlformats.org/officeDocument/2006/relationships/hyperlink" Id="rId14"/>
    <Relationship TargetMode="External" Target="https://www.legis.iowa.gov/docs/ico/chapter/148I.3.pdf" Type="http://schemas.openxmlformats.org/officeDocument/2006/relationships/hyperlink" Id="rId15"/>
    <Relationship TargetMode="External" Target="https://www.legis.iowa.gov/docs/ico/chapter/148I.pdf" Type="http://schemas.openxmlformats.org/officeDocument/2006/relationships/hyperlink" Id="rId16"/>
    <Relationship TargetMode="External" Target="http://nacpm.org" Type="http://schemas.openxmlformats.org/officeDocument/2006/relationships/hyperlink" Id="rId17"/>
    <Relationship TargetMode="External" Target="https://www.legis.iowa.gov/docs/iac/rule/655.623.2.pdf" Type="http://schemas.openxmlformats.org/officeDocument/2006/relationships/hyperlink" Id="rId18"/>
    <Relationship TargetMode="External" Target="https://www.legis.iowa.gov/docs/ico/chapter/148I.4.pdf" Type="http://schemas.openxmlformats.org/officeDocument/2006/relationships/hyperlink" Id="rId19"/>
    <Relationship TargetMode="External" Target="https://www.legis.iowa.gov/docs/ico/chapter/136A.6.pdf" Type="http://schemas.openxmlformats.org/officeDocument/2006/relationships/hyperlink" Id="rId20"/>
    <Relationship TargetMode="External" Target="https://www.legis.iowa.gov/docs/ico/chapter/136A.5A.pdf" Type="http://schemas.openxmlformats.org/officeDocument/2006/relationships/hyperlink" Id="rId21"/>
    <Relationship TargetMode="External" Target="https://www.legis.iowa.gov/docs/ico/chapter/148I.4.pdf" Type="http://schemas.openxmlformats.org/officeDocument/2006/relationships/hyperlink" Id="rId22"/>
    <Relationship TargetMode="External" Target="https://www.legis.iowa.gov/docs/ico/chapter/148I.4.pdf" Type="http://schemas.openxmlformats.org/officeDocument/2006/relationships/hyperlink" Id="rId23"/>
    <Relationship TargetMode="External" Target="https://www.legis.iowa.gov/docs/ico/chapter/148.1.pdf" Type="http://schemas.openxmlformats.org/officeDocument/2006/relationships/hyperlink" Id="rId24"/>
    <Relationship TargetMode="External" Target="https://www.legis.iowa.gov/docs/ico/chapter/152.1.pdf" Type="http://schemas.openxmlformats.org/officeDocument/2006/relationships/hyperlink" Id="rId25"/>
    <Relationship TargetMode="External" Target="https://www.legis.iowa.gov/docs/ico/chapter/148I.4.pdf" Type="http://schemas.openxmlformats.org/officeDocument/2006/relationships/hyperlink" Id="rId26"/>
    <Relationship TargetMode="External" Target="https://www.legis.iowa.gov/docs/ico/chapter/148I.4.pdf" Type="http://schemas.openxmlformats.org/officeDocument/2006/relationships/hyperlink" Id="rId27"/>
    <Relationship TargetMode="External" Target="https://www.legis.iowa.gov/docs/ico/chapter/148I.4.pdf" Type="http://schemas.openxmlformats.org/officeDocument/2006/relationships/hyperlink" Id="rId28"/>
    <Relationship TargetMode="External" Target="https://www.legis.iowa.gov/docs/ico/chapter/148I.4.pdf" Type="http://schemas.openxmlformats.org/officeDocument/2006/relationships/hyperlink" Id="rId29"/>
    <Relationship TargetMode="External" Target="https://www.legis.iowa.gov/docs/iac/chapter/481.553.pdf" Type="http://schemas.openxmlformats.org/officeDocument/2006/relationships/hyperlink" Id="rId30"/>
    <Relationship TargetMode="External" Target="https://www.legis.iowa.gov/docs/iac/rule/481.623.3.pdf" Type="http://schemas.openxmlformats.org/officeDocument/2006/relationships/hyperlink" Id="rId31"/>
    <Relationship TargetMode="External" Target="https://www.legis.iowa.gov/docs/ico/chapter/148I.pdf" Type="http://schemas.openxmlformats.org/officeDocument/2006/relationships/hyperlink" Id="rId32"/>
    <Relationship TargetMode="External" Target="https://www.legis.iowa.gov/docs/ico/chapter/147.55.pdf" Type="http://schemas.openxmlformats.org/officeDocument/2006/relationships/hyperlink" Id="rId33"/>
    <Relationship TargetMode="External" Target="https://www.legis.iowa.gov/docs/ico/chapter/147.55.pdf" Type="http://schemas.openxmlformats.org/officeDocument/2006/relationships/hyperlink" Id="rId34"/>
    <Relationship TargetMode="External" Target="https://www.legis.iowa.gov/docs/ico/chapter/147.55.pdf" Type="http://schemas.openxmlformats.org/officeDocument/2006/relationships/hyperlink" Id="rId35"/>
    <Relationship TargetMode="External" Target="https://www.legis.iowa.gov/docs/ico/chapter/147.55.pdf" Type="http://schemas.openxmlformats.org/officeDocument/2006/relationships/hyperlink" Id="rId36"/>
    <Relationship TargetMode="External" Target="https://www.legis.iowa.gov/docs/iac/rule/655.623.6.pdf" Type="http://schemas.openxmlformats.org/officeDocument/2006/relationships/hyperlink" Id="rId37"/>
    <Relationship TargetMode="External" Target="https://www.legis.iowa.gov/docs/ico/chapter/147.55.pdf" Type="http://schemas.openxmlformats.org/officeDocument/2006/relationships/hyperlink" Id="rId38"/>
    <Relationship TargetMode="External" Target="https://www.legis.iowa.gov/docs/ico/chapter/147.55.pdf" Type="http://schemas.openxmlformats.org/officeDocument/2006/relationships/hyperlink" Id="rId39"/>
    <Relationship TargetMode="External" Target="https://www.legis.iowa.gov/docs/ico/chapter/147.55.pdf" Type="http://schemas.openxmlformats.org/officeDocument/2006/relationships/hyperlink" Id="rId40"/>
    <Relationship TargetMode="External" Target="https://www.legis.iowa.gov/docs/ico/chapter/147.55.pdf" Type="http://schemas.openxmlformats.org/officeDocument/2006/relationships/hyperlink" Id="rId41"/>
    <Relationship TargetMode="External" Target="https://www.legis.iowa.gov/docs/ico/chapter/147.pdf" Type="http://schemas.openxmlformats.org/officeDocument/2006/relationships/hyperlink" Id="rId42"/>
    <Relationship TargetMode="External" Target="https://www.legis.iowa.gov/docs/ico/chapter/148I.pdf" Type="http://schemas.openxmlformats.org/officeDocument/2006/relationships/hyperlink" Id="rId43"/>
    <Relationship TargetMode="External" Target="https://www.legis.iowa.gov/docs/ico/chapter/272C.pdf" Type="http://schemas.openxmlformats.org/officeDocument/2006/relationships/hyperlink" Id="rId44"/>
    <Relationship TargetMode="External" Target="https://www.legis.iowa.gov/docs/ico/chapter/147.55.pdf" Type="http://schemas.openxmlformats.org/officeDocument/2006/relationships/hyperlink" Id="rId45"/>
    <Relationship TargetMode="External" Target="https://www.legis.iowa.gov/docs/ico/chapter/147.2.pdf" Type="http://schemas.openxmlformats.org/officeDocument/2006/relationships/hyperlink" Id="rId46"/>
    <Relationship TargetMode="External" Target="https://www.legis.iowa.gov/docs/ico/chapter/147.10.pdf" Type="http://schemas.openxmlformats.org/officeDocument/2006/relationships/hyperlink" Id="rId47"/>
    <Relationship TargetMode="External" Target="https://www.legis.iowa.gov/docs/iac/rule/655.623.7.pdf" Type="http://schemas.openxmlformats.org/officeDocument/2006/relationships/hyperlink" Id="rId48"/>
    <Relationship TargetMode="External" Target="https://www.legis.iowa.gov/docs/ico/chapter/148I.pdf" Type="http://schemas.openxmlformats.org/officeDocument/2006/relationships/hyperlink"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