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RESIDENTIAL CARE FACILITIES FOR PERSONS WITH MENTAL ILLNESS (RCFs/PMI)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481—62.1</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relates specifically to the licensing and regulation of residential care facilities for persons with mental illness (RCFs/PMI). Refer to 481—Chapter 57 for the licensing and regulation of all residential care facilities, including RCFs/PMI, and to 481—Chapter 60 for minimum physical standards for all residential care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481—Chapter 57 and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is as defined in rule 481—52.1(235E).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level of functioning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 process”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approach to assessment, service planning, and service implementation in which members of an interdisciplinary team utilize the skills, competencies, insights and perspectives provided by each member’s training and experience to develop a single, integrated, individual program plan to meet a resident’s needs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disorders include the organic and functional psychoses, neuroses, personality disorders, alcoholism and drug dependence, behavioral disorders and other disorders as defined by the current edition of American Psychiatric Association Diagnostic and Statistical Manual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currently licensed as a registered nurse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holds a national certification in psychiatric mental health care and who is licensed by the board of nursing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a certified psychiatric nurse, is eligible for certification by the American Nursing Association, and is licensed by the state of Iowa to practice nursing as defined in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 or meets the requirements for eligibility for a license to practice psychology in the state of Iowa that were effective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a psychiatrist, psychologist, social worker, certified psychiatric nurse, psychiatric advanced registered nurse practitioner, or mental health counselor;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doctor of medicine or osteopathic medicine, a physician associate, or an advanced registered nurse practitioner and has at least one year’s documented supervised experience in providing mental health services;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master’s degree with coursework focusing on diagnosis, evaluation, and psychotherapeutic treatment of mental health problems and mental illness;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employed by a community mental health center or mental health service provider accredited by the commission and has less than a master’s degree but at least a bachelor’s degree and sufficient education and experience as determined by the chief administrative officer of the community mental health center, with the approval of the commission, with coursework and experience focusing on diagnosis and evaluation and treatment of persons with mental health problems and mental illness.</w:t>
      </w:r>
    </w:p>
    <w:p>
      <w:pPr>
        <w:spacing w:before="0" w:after="0"/>
        <w:ind w:left="120"/>
        <w:jc w:val="both"/>
      </w:pPr>
      <w:r>
        <w:rPr>
          <w:rFonts w:ascii="Times New Roman" w:hAnsi="Times New Roman"/>
          <w:b w:val="false"/>
          <w:i w:val="false"/>
          <w:color w:val="000000"/>
          <w:sz w:val="22"/>
        </w:rPr>
        <w:t xml:space="preserve">If the person is practicing in a field covered by an Iowa licensure law, the person shall hold a current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r>
        <w:rPr>
          <w:rFonts w:ascii="Times New Roman" w:hAnsi="Times New Roman"/>
          <w:b w:val="false"/>
          <w:i w:val="false"/>
          <w:color w:val="000000"/>
          <w:sz w:val="22"/>
        </w:rPr>
        <w:t>In addition to personnel requirements found in 481—Chapter 57, the RCF/PMI shall provide for services of a qualified mental health professional, by direct employment or contract, whose responsibilities shall include, but not be limited to: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Approval of each resident’s service plan;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the implementation of each resident’s service plan;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Recording each resident’s progress; and (II,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Participating in a periodic review of each resident’s service plan.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481—62.4</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criteria. </w:t>
      </w:r>
      <w:r>
        <w:rPr>
          <w:rFonts w:ascii="Times New Roman" w:hAnsi="Times New Roman"/>
          <w:b w:val="false"/>
          <w:i w:val="false"/>
          <w:color w:val="000000"/>
          <w:sz w:val="22"/>
        </w:rPr>
        <w:t>In addition to admission criteria found in 481—Chapter 57, the facility’s admission criteria shall include but not be limited to age, sex, diagnosis from the American Psychiatric Association Diagnostic and Statistical Manual of Mental Disorders, substance abuse, dual diagnosis and criteria that are consistent with the résumé of care.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481—62.5</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Evaluation services shall be provided to each resident. An annual evaluation of each resident shall be completed no later than 12 months from the date of the last available evaluation. For residents who are on leave from a state mental health institution, the institution shall be responsible for the completion of the evaluation. The facility shall ensure the completion of the evaluation of all other residents. The annual evaluation shall identify physical health and current level of functioning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 in identification of current illness and disabilities and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an evaluation of the resident’s ability for health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performed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w:t>
      </w:r>
      <w:r>
        <w:rPr>
          <w:rFonts w:ascii="Times New Roman" w:hAnsi="Times New Roman"/>
          <w:b w:val="false"/>
          <w:i w:val="false"/>
          <w:color w:val="000000"/>
          <w:sz w:val="22"/>
        </w:rPr>
        <w:t> </w:t>
      </w:r>
      <w:r>
        <w:rPr>
          <w:rFonts w:ascii="Times New Roman" w:hAnsi="Times New Roman"/>
          <w:b w:val="false"/>
          <w:i w:val="false"/>
          <w:color w:val="000000"/>
          <w:sz w:val="22"/>
        </w:rPr>
        <w:t>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current level of functioning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resident’s level of functioning and need for services in each of the following areas: self-care, community living skills, psychotherapeutic treatment, vocational skills, and academic skills.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of sufficient detail to determine the appropriateness of placement according to the skills and needs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in consultation with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evaluation is available from the referral source, the evaluation shall be secured by the facility prior to the admission of the applicant.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evaluation is not available or does not contain all the required information, the facility shall ensure an evaluation to the extent necessary to determine if the applicant meets the criteria for admission. For those admitted, the remainder of the evaluation shall be performed prior to the development of a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the resident’s record. Evaluations subsequent to the initial evaluation shall be performed in sufficient detail to determine changes in the resident’s physical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62.5(4)</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and approved by the qualified mental health professional prior to the development of the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social history was secured from another provider, the information contained shall be reviewed within 30 days of admission. The date of the review, signature of the staff reviewing the history, and a summary of significant changes in the information shall be entered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information contained within the social history shall be incorporated into the service plan progress note.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minimally address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services received and summary of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summary of significant medical conditions including, but not limited to, illnesses, hospitalizations, past and current drug therapies,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and ethnic background and religious affiliation,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4/14/89, Notice 2/8/89—published 5/3/89, effective 6/7/89]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3739C</w:t>
      </w:r>
      <w:r>
        <w:rPr>
          <w:rFonts w:ascii="Times New Roman" w:hAnsi="Times New Roman"/>
          <w:b w:val="false"/>
          <w:i w:val="false"/>
          <w:color w:val="000000"/>
          <w:sz w:val="21"/>
        </w:rPr>
        <w:t xml:space="preserve"> (Notice ARC 3474C,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52E.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35C.14.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