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617</w:t>
      </w:r>
    </w:p>
    <w:p>
      <w:pPr>
        <w:spacing w:before="0" w:after="0"/>
        <w:ind w:left="120"/>
        <w:jc w:val="center"/>
      </w:pPr>
      <w:r>
        <w:rPr>
          <w:rFonts w:ascii="Times New Roman" w:hAnsi="Times New Roman"/>
          <w:b w:val="false"/>
          <w:i w:val="false"/>
          <w:color w:val="000000"/>
          <w:sz w:val="21"/>
        </w:rPr>
        <w:t>LICENSURE TO PRACTICE—REGISTERED NURSE/LICENSED PRACTICAL NURSE</w:t>
      </w:r>
    </w:p>
    <w:p>
      <w:pPr>
        <w:spacing w:before="0" w:after="0"/>
        <w:ind w:left="120"/>
        <w:jc w:val="center"/>
      </w:pPr>
      <w:r>
        <w:rPr>
          <w:rFonts w:ascii="Times New Roman" w:hAnsi="Times New Roman"/>
          <w:b w:val="false"/>
          <w:i w:val="false"/>
          <w:color w:val="000000"/>
          <w:sz w:val="14"/>
        </w:rPr>
        <w:t>[Prior to 6/11/25, see Nursing Board[655]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481—617.1</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nursing program” </w:t>
      </w:r>
      <w:r>
        <w:rPr>
          <w:rFonts w:ascii="Times New Roman" w:hAnsi="Times New Roman"/>
          <w:b w:val="false"/>
          <w:i w:val="false"/>
          <w:color w:val="000000"/>
          <w:sz w:val="22"/>
        </w:rPr>
        <w:t>means a nursing education program whose status has been recognized by the board or by a similar board in another jurisdiction that prepares individuals for licensure as a licensed practical nurse, registered nurse, or advanced registered nurse practitioner; or grants a baccalaureate, master’s or doctorate degree with a major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“CGFNS” </w:t>
      </w:r>
      <w:r>
        <w:rPr>
          <w:rFonts w:ascii="Times New Roman" w:hAnsi="Times New Roman"/>
          <w:b w:val="false"/>
          <w:i w:val="false"/>
          <w:color w:val="000000"/>
          <w:sz w:val="22"/>
        </w:rPr>
        <w:t>means the Commission on Graduates of Foreign Nursing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registered nurse or licensed practical nurse license that has been placed on inactive status because it was not renewed by the fifteenth day of the month following the expiration date or means that the board has received notification that a licensee has declared another compact state as the primary state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license” </w:t>
      </w:r>
      <w:r>
        <w:rPr>
          <w:rFonts w:ascii="Times New Roman" w:hAnsi="Times New Roman"/>
          <w:b w:val="false"/>
          <w:i w:val="false"/>
          <w:color w:val="000000"/>
          <w:sz w:val="22"/>
        </w:rPr>
        <w:t>means a registered nurse or licensed practical nurse license that has not been renewed by the expiration date. The time between the expiration date and the fifteenth day of the month following the expiration date is considered a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has been issued a license to practice as a registered nurse, licensed practical nurse or advanced registered nurse practitioner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“Multistate license” </w:t>
      </w:r>
      <w:r>
        <w:rPr>
          <w:rFonts w:ascii="Times New Roman" w:hAnsi="Times New Roman"/>
          <w:b w:val="false"/>
          <w:i w:val="false"/>
          <w:color w:val="000000"/>
          <w:sz w:val="22"/>
        </w:rPr>
        <w:t xml:space="preserve">means a license to practice as a registered nurse or licensed practical nurse issued to a qualified person under Iowa Code chapter </w:t>
      </w:r>
      <w:hyperlink r:id="rId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that authorizes the holder to practice in all party states under a multistate licensure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“Multistate licensure privilege” </w:t>
      </w:r>
      <w:r>
        <w:rPr>
          <w:rFonts w:ascii="Times New Roman" w:hAnsi="Times New Roman"/>
          <w:b w:val="false"/>
          <w:i w:val="false"/>
          <w:color w:val="000000"/>
          <w:sz w:val="22"/>
        </w:rPr>
        <w:t>means a legal authorization associated with a multistate license permitting the practice of nursing as either a registered nurse or a licensed practical nurse in a party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“NCSBN” </w:t>
      </w:r>
      <w:r>
        <w:rPr>
          <w:rFonts w:ascii="Times New Roman" w:hAnsi="Times New Roman"/>
          <w:b w:val="false"/>
          <w:i w:val="false"/>
          <w:color w:val="000000"/>
          <w:sz w:val="22"/>
        </w:rPr>
        <w:t>means the National Council of State Boards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licensure compact” </w:t>
      </w:r>
      <w:r>
        <w:rPr>
          <w:rFonts w:ascii="Times New Roman" w:hAnsi="Times New Roman"/>
          <w:b w:val="false"/>
          <w:i w:val="false"/>
          <w:color w:val="000000"/>
          <w:sz w:val="22"/>
        </w:rPr>
        <w:t xml:space="preserve">means the agreement between party states, as set forth in Iowa Code chapter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to allow mutual recognition of a nursing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payment in excess of the required fee. An overpayment less than $10 received by the board shall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state” </w:t>
      </w:r>
      <w:r>
        <w:rPr>
          <w:rFonts w:ascii="Times New Roman" w:hAnsi="Times New Roman"/>
          <w:b w:val="false"/>
          <w:i w:val="false"/>
          <w:color w:val="000000"/>
          <w:sz w:val="22"/>
        </w:rPr>
        <w:t>means any state that has adopted the nurse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481—617.2</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Fees for licensure. </w:t>
      </w:r>
      <w:r>
        <w:rPr>
          <w:rFonts w:ascii="Times New Roman" w:hAnsi="Times New Roman"/>
          <w:b w:val="false"/>
          <w:i w:val="false"/>
          <w:color w:val="000000"/>
          <w:sz w:val="22"/>
        </w:rPr>
        <w:t>The following fees apply for licensure of registered nurses (RN), licensed practical nurses (LPN), and advanced registered nurse practitioners (ARNP):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w:t>
      </w:r>
      <w:r>
        <w:rPr>
          <w:rFonts w:ascii="Times New Roman" w:hAnsi="Times New Roman"/>
          <w:b w:val="false"/>
          <w:i w:val="false"/>
          <w:color w:val="000000"/>
          <w:sz w:val="22"/>
        </w:rPr>
        <w:t> </w:t>
      </w:r>
      <w:r>
        <w:rPr>
          <w:rFonts w:ascii="Times New Roman" w:hAnsi="Times New Roman"/>
          <w:b w:val="false"/>
          <w:i w:val="false"/>
          <w:color w:val="000000"/>
          <w:sz w:val="22"/>
        </w:rPr>
        <w:t>Application for an initial license based on the registered nurse examination, $93 (plus the fee for evaluation of the fingerprint cards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617.2(2)</w:t>
      </w:r>
      <w:r>
        <w:rPr>
          <w:rFonts w:ascii="Times New Roman" w:hAnsi="Times New Roman"/>
          <w:b w:val="false"/>
          <w:i w:val="false"/>
          <w:color w:val="000000"/>
          <w:sz w:val="22"/>
        </w:rPr>
        <w:t> </w:t>
      </w:r>
      <w:r>
        <w:rPr>
          <w:rFonts w:ascii="Times New Roman" w:hAnsi="Times New Roman"/>
          <w:b w:val="false"/>
          <w:i w:val="false"/>
          <w:color w:val="000000"/>
          <w:sz w:val="22"/>
        </w:rPr>
        <w:t>Application for an original license based on the practical nurse examination, $93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617.2(3)</w:t>
      </w:r>
      <w:r>
        <w:rPr>
          <w:rFonts w:ascii="Times New Roman" w:hAnsi="Times New Roman"/>
          <w:b w:val="false"/>
          <w:i w:val="false"/>
          <w:color w:val="000000"/>
          <w:sz w:val="22"/>
        </w:rPr>
        <w:t> </w:t>
      </w:r>
      <w:r>
        <w:rPr>
          <w:rFonts w:ascii="Times New Roman" w:hAnsi="Times New Roman"/>
          <w:b w:val="false"/>
          <w:i w:val="false"/>
          <w:color w:val="000000"/>
          <w:sz w:val="22"/>
        </w:rPr>
        <w:t>Application for RN/LPN license by endorsement, $119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617.2(4)</w:t>
      </w:r>
      <w:r>
        <w:rPr>
          <w:rFonts w:ascii="Times New Roman" w:hAnsi="Times New Roman"/>
          <w:b w:val="false"/>
          <w:i w:val="false"/>
          <w:color w:val="000000"/>
          <w:sz w:val="22"/>
        </w:rPr>
        <w:t> </w:t>
      </w:r>
      <w:r>
        <w:rPr>
          <w:rFonts w:ascii="Times New Roman" w:hAnsi="Times New Roman"/>
          <w:b w:val="false"/>
          <w:i w:val="false"/>
          <w:color w:val="000000"/>
          <w:sz w:val="22"/>
        </w:rPr>
        <w:t>Application for an initial license, renewal, or both of an ARNP, $81 for any period of licensure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617.2(5)</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an RN/LPN is licensed in this state or registered as an ARNP,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617.2(6)</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as an RN/LPN, $175 for a license lasting more than 24 months up to 36 months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617.2(7)</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as an ARNP, $81 for any licensing period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617.2(8)</w:t>
      </w:r>
      <w:r>
        <w:rPr>
          <w:rFonts w:ascii="Times New Roman" w:hAnsi="Times New Roman"/>
          <w:b w:val="false"/>
          <w:i w:val="false"/>
          <w:color w:val="000000"/>
          <w:sz w:val="22"/>
        </w:rPr>
        <w:t> </w:t>
      </w:r>
      <w:r>
        <w:rPr>
          <w:rFonts w:ascii="Times New Roman" w:hAnsi="Times New Roman"/>
          <w:b w:val="false"/>
          <w:i w:val="false"/>
          <w:color w:val="000000"/>
          <w:sz w:val="22"/>
        </w:rPr>
        <w:t>Renewal of a license to practice as an RN/LPN, $99 for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617.2(9)</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of an RN/LPN license, $50 (plus the renewal fee as specified in subrule </w:t>
      </w:r>
      <w:hyperlink r:id="rId7">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617.2(10)</w:t>
      </w:r>
      <w:r>
        <w:rPr>
          <w:rFonts w:ascii="Times New Roman" w:hAnsi="Times New Roman"/>
          <w:b w:val="false"/>
          <w:i w:val="false"/>
          <w:color w:val="000000"/>
          <w:sz w:val="22"/>
        </w:rPr>
        <w:t> </w:t>
      </w:r>
      <w:r>
        <w:rPr>
          <w:rFonts w:ascii="Times New Roman" w:hAnsi="Times New Roman"/>
          <w:b w:val="false"/>
          <w:i w:val="false"/>
          <w:color w:val="000000"/>
          <w:sz w:val="22"/>
        </w:rPr>
        <w:t>Check returned for any reason, $15.  If licensure/registration has been issued by the board office based on a check for the payment of fees and the check is later returned by the bank, the board will request payment by certified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617.2(11)</w:t>
      </w:r>
      <w:r>
        <w:rPr>
          <w:rFonts w:ascii="Times New Roman" w:hAnsi="Times New Roman"/>
          <w:b w:val="false"/>
          <w:i w:val="false"/>
          <w:color w:val="000000"/>
          <w:sz w:val="22"/>
        </w:rPr>
        <w:t> </w:t>
      </w:r>
      <w:r>
        <w:rPr>
          <w:rFonts w:ascii="Times New Roman" w:hAnsi="Times New Roman"/>
          <w:b w:val="false"/>
          <w:i w:val="false"/>
          <w:color w:val="000000"/>
          <w:sz w:val="22"/>
        </w:rPr>
        <w:t>Certified copy of an original document,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617.2(12)</w:t>
      </w:r>
      <w:r>
        <w:rPr>
          <w:rFonts w:ascii="Times New Roman" w:hAnsi="Times New Roman"/>
          <w:b w:val="false"/>
          <w:i w:val="false"/>
          <w:color w:val="000000"/>
          <w:sz w:val="22"/>
        </w:rPr>
        <w:t> </w:t>
      </w:r>
      <w:r>
        <w:rPr>
          <w:rFonts w:ascii="Times New Roman" w:hAnsi="Times New Roman"/>
          <w:b w:val="false"/>
          <w:i w:val="false"/>
          <w:color w:val="000000"/>
          <w:sz w:val="22"/>
        </w:rPr>
        <w:t>Processing of the fingerprint cards and the Iowa DCI and FBI criminal history background checks,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617.2(13)</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Mandatory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practice of nursing in the state of Iowa as defined in Iowa Code section </w:t>
      </w:r>
      <w:hyperlink r:id="rId8">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outside of caring for one’s family, must have a current Iowa license, whether or not the person’s employer is in Iowa and whether or not the person receives compensation. Any nurse participating in the care of a patient situated in Iowa, whether that care is provided through telephonic, electronic or in-person means, and regardless of the location of the nurse, must obtain Iowa licensure unless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617.3(2)</w:t>
      </w:r>
      <w:r>
        <w:rPr>
          <w:rFonts w:ascii="Times New Roman" w:hAnsi="Times New Roman"/>
          <w:b w:val="false"/>
          <w:i w:val="false"/>
          <w:color w:val="000000"/>
          <w:sz w:val="22"/>
        </w:rPr>
        <w:t> </w:t>
      </w:r>
      <w:r>
        <w:rPr>
          <w:rFonts w:ascii="Times New Roman" w:hAnsi="Times New Roman"/>
          <w:b w:val="false"/>
          <w:i w:val="false"/>
          <w:color w:val="000000"/>
          <w:sz w:val="22"/>
        </w:rPr>
        <w:t>Current Iowa licensure is not mandatory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holds an active multistate license issued by a party state, pursuant to Iowa Code chapter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A nurse who practices nursing in Iowa pursuant to a multistate licensure privilege is subject to the jurisdiction of the board, the courts, and the laws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services to patients in Iowa only during interstate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emergency services in an area in which the governor of Iowa has declared a state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617.3(3)</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enrolled in an approved program for registered nurses shall hold an active licensed practical nurse license in all jurisdictions in which the licensed practical nurse provides patient care. A registered nurse who is enrolled in an approved program for advanced registered nurse practitioners shall hold an active registered nurse license in all jurisdictions in which the registered nurse provides patient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qualifications for registered nurse and licensed practical nurse. </w:t>
      </w:r>
      <w:r>
        <w:rPr>
          <w:rFonts w:ascii="Times New Roman" w:hAnsi="Times New Roman"/>
          <w:b w:val="false"/>
          <w:i w:val="false"/>
          <w:color w:val="000000"/>
          <w:sz w:val="22"/>
        </w:rPr>
        <w:t>Applicants for registered nurse and licensed practical nurse licenses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617.4(1)</w:t>
      </w:r>
      <w:r>
        <w:rPr>
          <w:rFonts w:ascii="Times New Roman" w:hAnsi="Times New Roman"/>
          <w:b w:val="false"/>
          <w:i w:val="false"/>
          <w:color w:val="000000"/>
          <w:sz w:val="22"/>
        </w:rPr>
        <w:t> </w:t>
      </w:r>
      <w:r>
        <w:rPr>
          <w:rFonts w:ascii="Times New Roman" w:hAnsi="Times New Roman"/>
          <w:b w:val="false"/>
          <w:i w:val="false"/>
          <w:color w:val="000000"/>
          <w:sz w:val="22"/>
        </w:rPr>
        <w:t>Graduation from an approved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617.4(2)</w:t>
      </w:r>
      <w:r>
        <w:rPr>
          <w:rFonts w:ascii="Times New Roman" w:hAnsi="Times New Roman"/>
          <w:b w:val="false"/>
          <w:i w:val="false"/>
          <w:color w:val="000000"/>
          <w:sz w:val="22"/>
        </w:rPr>
        <w:t> </w:t>
      </w:r>
      <w:r>
        <w:rPr>
          <w:rFonts w:ascii="Times New Roman" w:hAnsi="Times New Roman"/>
          <w:b w:val="false"/>
          <w:i w:val="false"/>
          <w:color w:val="000000"/>
          <w:sz w:val="22"/>
        </w:rPr>
        <w:t>Successful passage of the National Council Licensure Examination (NCLEX®) or the State Board Test Pool Examination, the national examination used prior to 1982. The passing standard is that established by the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board approval of an applicant with a criminal history, pursuant to rule </w:t>
      </w:r>
      <w:hyperlink r:id="rId10">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 or a record of prior disciplinary action, regardless of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initial licensure as a registered nurse or licensed practical nurse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617.5(2)</w:t>
      </w:r>
      <w:r>
        <w:rPr>
          <w:rFonts w:ascii="Times New Roman" w:hAnsi="Times New Roman"/>
          <w:b w:val="false"/>
          <w:i w:val="false"/>
          <w:color w:val="000000"/>
          <w:sz w:val="22"/>
        </w:rPr>
        <w:t> </w:t>
      </w:r>
      <w:r>
        <w:rPr>
          <w:rFonts w:ascii="Times New Roman" w:hAnsi="Times New Roman"/>
          <w:b w:val="false"/>
          <w:i/>
          <w:color w:val="000000"/>
          <w:sz w:val="22"/>
        </w:rPr>
        <w:t xml:space="preserve">Test registration. </w:t>
      </w:r>
      <w:r>
        <w:rPr>
          <w:rFonts w:ascii="Times New Roman" w:hAnsi="Times New Roman"/>
          <w:b w:val="false"/>
          <w:i w:val="false"/>
          <w:color w:val="000000"/>
          <w:sz w:val="22"/>
        </w:rPr>
        <w:t>The applicant completes NCLEX® registration, including payment of applicable fees through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617.5(3)</w:t>
      </w:r>
      <w:r>
        <w:rPr>
          <w:rFonts w:ascii="Times New Roman" w:hAnsi="Times New Roman"/>
          <w:b w:val="false"/>
          <w:i w:val="false"/>
          <w:color w:val="000000"/>
          <w:sz w:val="22"/>
        </w:rPr>
        <w:t> </w:t>
      </w:r>
      <w:r>
        <w:rPr>
          <w:rFonts w:ascii="Times New Roman" w:hAnsi="Times New Roman"/>
          <w:b w:val="false"/>
          <w:i/>
          <w:color w:val="000000"/>
          <w:sz w:val="22"/>
        </w:rPr>
        <w:t xml:space="preserve">Americans with Disabilities Act accommodations. </w:t>
      </w:r>
      <w:r>
        <w:rPr>
          <w:rFonts w:ascii="Times New Roman" w:hAnsi="Times New Roman"/>
          <w:b w:val="false"/>
          <w:i w:val="false"/>
          <w:color w:val="000000"/>
          <w:sz w:val="22"/>
        </w:rPr>
        <w:t>An applicant with a disability may submit a request to the board for testing accommodations. The request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disability and the specific testing accommodations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applicant’s health care provider describing the disability and the recommended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applicant’s nursing education program if testing accommodations were provided to the applicant during school.</w:t>
      </w:r>
    </w:p>
    <w:p>
      <w:pPr>
        <w:spacing w:before="0" w:after="0"/>
        <w:ind w:left="120"/>
        <w:jc w:val="both"/>
      </w:pPr>
      <w:r>
        <w:rPr>
          <w:rFonts w:ascii="Times New Roman" w:hAnsi="Times New Roman"/>
          <w:b w:val="false"/>
          <w:i w:val="false"/>
          <w:color w:val="000000"/>
          <w:sz w:val="22"/>
        </w:rPr>
        <w:t>The board’s recommendation regarding approval of accommodation requests will be communicated to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test. </w:t>
      </w:r>
      <w:r>
        <w:rPr>
          <w:rFonts w:ascii="Times New Roman" w:hAnsi="Times New Roman"/>
          <w:b w:val="false"/>
          <w:i w:val="false"/>
          <w:color w:val="000000"/>
          <w:sz w:val="22"/>
        </w:rPr>
        <w:t xml:space="preserve">An applicant will not receive an authorization to test until all of the requirements in subrules </w:t>
      </w:r>
      <w:hyperlink r:id="rId12">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self-schedule the examination with an approved testing center and must test within 91 days of receiving the authorization to test. An applicant who does not test within 91 days of receiving the authorization to test is required to submit a new completed application for licensure by examination and fee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appear for a testing appointment or does not complete the examination must follow the requirements for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617.5(5)</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 xml:space="preserve">An applicant who fails the examination and reapplies within 12 months of submitting a prior application to the board is required to complete the requirements in paragraphs </w:t>
      </w:r>
      <w:hyperlink r:id="rId14">
        <w:r>
          <w:rPr>
            <w:rStyle w:val="Hyperlink"/>
            <w:rFonts w:ascii="Times New Roman" w:hAnsi="Times New Roman"/>
            <w:b w:val="false"/>
            <w:i w:val="false"/>
            <w:color w:val="000000"/>
            <w:sz w:val="22"/>
          </w:rPr>
          <w:t>617.5(1)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15">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 xml:space="preserve">. An applicant who fails the examination and reapplies after 12 months of submitting a prior application to the board shall be required to complete all requirements in subrules </w:t>
      </w:r>
      <w:hyperlink r:id="rId16">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617.5(6)</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required by subrule </w:t>
      </w:r>
      <w:hyperlink r:id="rId18">
        <w:r>
          <w:rPr>
            <w:rStyle w:val="Hyperlink"/>
            <w:rFonts w:ascii="Times New Roman" w:hAnsi="Times New Roman"/>
            <w:b w:val="false"/>
            <w:i w:val="false"/>
            <w:color w:val="000000"/>
            <w:sz w:val="22"/>
          </w:rPr>
          <w:t>617.4(1)</w:t>
        </w:r>
      </w:hyperlink>
      <w:r>
        <w:rPr>
          <w:rFonts w:ascii="Times New Roman" w:hAnsi="Times New Roman"/>
          <w:b w:val="false"/>
          <w:i w:val="false"/>
          <w:color w:val="000000"/>
          <w:sz w:val="22"/>
        </w:rPr>
        <w:t xml:space="preserve"> and proof of successful passage of the examination,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481—617.6</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licensure as a registered nurse or licensed practical nurse in Iowa who has been licensed in another state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9">
        <w:r>
          <w:rPr>
            <w:rStyle w:val="Hyperlink"/>
            <w:rFonts w:ascii="Times New Roman" w:hAnsi="Times New Roman"/>
            <w:b w:val="false"/>
            <w:i w:val="false"/>
            <w:color w:val="000000"/>
            <w:sz w:val="22"/>
          </w:rPr>
          <w:t>481—617.12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relevant disciplinary documents if the applicant has had disciplinary action taken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original state of licensure, which may be done through </w:t>
      </w:r>
      <w:hyperlink r:id="rId20">
        <w:r>
          <w:rPr>
            <w:rStyle w:val="Hyperlink"/>
            <w:rFonts w:ascii="Times New Roman" w:hAnsi="Times New Roman"/>
            <w:b w:val="false"/>
            <w:i w:val="false"/>
            <w:color w:val="000000"/>
            <w:sz w:val="22"/>
            <w:u w:val="single"/>
          </w:rPr>
          <w:t>www.nursys.com</w:t>
        </w:r>
      </w:hyperlink>
      <w:r>
        <w:rPr>
          <w:rFonts w:ascii="Times New Roman" w:hAnsi="Times New Roman"/>
          <w:b w:val="false"/>
          <w:i w:val="false"/>
          <w:color w:val="000000"/>
          <w:sz w:val="22"/>
        </w:rPr>
        <w:t xml:space="preserve"> or by using the verification form depending on the requirements of the original state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active licensure in any jurisdiction within the previous five years from the date of application or proof of completion of a nurse refresher course in accordance with rule </w:t>
      </w:r>
      <w:hyperlink r:id="rId2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(152) within the 12 months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 An applicant may be excused from this requirement if the nursing program is closed and records are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 xml:space="preserve">An applicant who has submitted all documentation described in paragraphs </w:t>
      </w:r>
      <w:hyperlink r:id="rId22">
        <w:r>
          <w:rPr>
            <w:rStyle w:val="Hyperlink"/>
            <w:rFonts w:ascii="Times New Roman" w:hAnsi="Times New Roman"/>
            <w:b w:val="false"/>
            <w:i w:val="false"/>
            <w:color w:val="000000"/>
            <w:sz w:val="22"/>
          </w:rPr>
          <w:t>617.5(1)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may request a temporary registered nurse or licensed practical nurse license, which authorizes the practice of nursing in Iowa for a maximum of 30 days, pending receipt of official transcripts from the nursing program. A temporarily licensed licensee will automatically be issued a permanent license upon receipt of satisfactory transcripts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617.6(3)</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described in subrule </w:t>
      </w:r>
      <w:hyperlink r:id="rId23">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617.6(5)</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nurse who holds a multistate license issued by a party state and who changes the nurse’s primary state of residence to Iowa must apply for licensure in Iowa pursuant to this rule. Upon issuance of a multistate license by the board, the nurse’s prior multistate license will be deactivated.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481—617.7</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Applicants educated in a foreign country or in a U.S. territory that is not a member of NCSBN.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617.7(1)</w:t>
      </w:r>
      <w:r>
        <w:rPr>
          <w:rFonts w:ascii="Times New Roman" w:hAnsi="Times New Roman"/>
          <w:b w:val="false"/>
          <w:i w:val="false"/>
          <w:color w:val="000000"/>
          <w:sz w:val="22"/>
        </w:rPr>
        <w:t> </w:t>
      </w:r>
      <w:r>
        <w:rPr>
          <w:rFonts w:ascii="Times New Roman" w:hAnsi="Times New Roman"/>
          <w:b w:val="false"/>
          <w:i w:val="false"/>
          <w:color w:val="000000"/>
          <w:sz w:val="22"/>
        </w:rPr>
        <w:t>Applicant for licensure. An applicant seeking licensure in Iowa who was educated in a foreign country or in a U.S. territory that is not a member of NCSBN shall apply for licensure by examination pursuant to rule 481—617.5(17A,147,152,272C) or licensure by endorsement pursuant to rule 481—617.6(17A,147,152,272C), as applicable, but instead of submitting an official transcript, shall submit one of the following documents issued by CGFNS: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Credentials Evaluation Service (CES) Professional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VisaScreen® certificate or certificate verification letter verifying that a VisaScreen®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CGFNS Certification Program® certificate or certificate verification letter verifying that a CGFNS Certification Program®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617.7(2)</w:t>
      </w:r>
      <w:r>
        <w:rPr>
          <w:rFonts w:ascii="Times New Roman" w:hAnsi="Times New Roman"/>
          <w:b w:val="false"/>
          <w:i w:val="false"/>
          <w:color w:val="000000"/>
          <w:sz w:val="22"/>
        </w:rPr>
        <w:t> </w:t>
      </w:r>
      <w:r>
        <w:rPr>
          <w:rFonts w:ascii="Times New Roman" w:hAnsi="Times New Roman"/>
          <w:b w:val="false"/>
          <w:i w:val="false"/>
          <w:color w:val="000000"/>
          <w:sz w:val="22"/>
        </w:rPr>
        <w:t>An applicant shall be exempt from taking an English language proficiency test when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was completed in a college, university, or professional school located in Australia, Barbados, Canada (except Quebec), Ireland, Jamaica, New Zealand, South Africa, Trinidad and Tobago, or the United Kingdom.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of instruction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language of the textbooks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To be eligible for a multistate license, an applicant must have a social security number. An applicant who does not have a social security number shall submit documentation of lawful presence and will only be eligible for a single 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481—617.8</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License renewal and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617.8(1)</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changes. </w:t>
      </w:r>
      <w:r>
        <w:rPr>
          <w:rFonts w:ascii="Times New Roman" w:hAnsi="Times New Roman"/>
          <w:b w:val="false"/>
          <w:i w:val="false"/>
          <w:color w:val="000000"/>
          <w:sz w:val="22"/>
        </w:rPr>
        <w:t>Licensees must notify the board of any name or address change within 30 days of the change. Licensure documents are mailed to the licensee at the address on file in the board office. There is no fee for a change of name or address in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617.8(2)</w:t>
      </w:r>
      <w:r>
        <w:rPr>
          <w:rFonts w:ascii="Times New Roman" w:hAnsi="Times New Roman"/>
          <w:b w:val="false"/>
          <w:i w:val="false"/>
          <w:color w:val="000000"/>
          <w:sz w:val="22"/>
        </w:rPr>
        <w:t> </w:t>
      </w:r>
      <w:r>
        <w:rPr>
          <w:rFonts w:ascii="Times New Roman" w:hAnsi="Times New Roman"/>
          <w:b w:val="false"/>
          <w:i/>
          <w:color w:val="000000"/>
          <w:sz w:val="22"/>
        </w:rPr>
        <w:t xml:space="preserve">Initial licenses. </w:t>
      </w:r>
      <w:r>
        <w:rPr>
          <w:rFonts w:ascii="Times New Roman" w:hAnsi="Times New Roman"/>
          <w:b w:val="false"/>
          <w:i w:val="false"/>
          <w:color w:val="000000"/>
          <w:sz w:val="22"/>
        </w:rPr>
        <w:t>The board shall issue licenses by endorsement and examination for a 24- to 36-month period. When the license is renewed, it will be placed on a three-year renewal cycle. License expiration is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licensee may renew the license beginning 60 days prior to license expiration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Attest that Iowa is the primary state of residence or that the primary state of residence is a noncompact state. The board may request evidence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renewal application and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 as set forth in </w:t>
      </w:r>
      <w:hyperlink r:id="rId24">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required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children in Iowa must indicate on the renewal application completion of training in child abuse identification and reporting as required by Iowa Code section </w:t>
      </w:r>
      <w:hyperlink r:id="rId2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subparagraph </w:t>
      </w:r>
      <w:hyperlink r:id="rId26">
        <w:r>
          <w:rPr>
            <w:rStyle w:val="Hyperlink"/>
            <w:rFonts w:ascii="Times New Roman" w:hAnsi="Times New Roman"/>
            <w:b w:val="false"/>
            <w:i w:val="false"/>
            <w:color w:val="000000"/>
            <w:sz w:val="22"/>
          </w:rPr>
          <w:t>617.8(3)</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adults in Iowa shall indicate on the renewal application completion of training in dependent adult abuse identification and reporting as required by Iowa Code section </w:t>
      </w:r>
      <w:hyperlink r:id="rId2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subparagraph </w:t>
      </w:r>
      <w:hyperlink r:id="rId28">
        <w:r>
          <w:rPr>
            <w:rStyle w:val="Hyperlink"/>
            <w:rFonts w:ascii="Times New Roman" w:hAnsi="Times New Roman"/>
            <w:b w:val="false"/>
            <w:i w:val="false"/>
            <w:color w:val="000000"/>
            <w:sz w:val="22"/>
          </w:rPr>
          <w:t>617.8(3)</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subparagraphs </w:t>
      </w:r>
      <w:hyperlink r:id="rId29">
        <w:r>
          <w:rPr>
            <w:rStyle w:val="Hyperlink"/>
            <w:rFonts w:ascii="Times New Roman" w:hAnsi="Times New Roman"/>
            <w:b w:val="false"/>
            <w:i w:val="false"/>
            <w:color w:val="000000"/>
            <w:sz w:val="22"/>
          </w:rPr>
          <w:t>617.8(3)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exemption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30">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subparagraphs </w:t>
      </w:r>
      <w:hyperlink r:id="rId31">
        <w:r>
          <w:rPr>
            <w:rStyle w:val="Hyperlink"/>
            <w:rFonts w:ascii="Times New Roman" w:hAnsi="Times New Roman"/>
            <w:b w:val="false"/>
            <w:i w:val="false"/>
            <w:color w:val="000000"/>
            <w:sz w:val="22"/>
          </w:rPr>
          <w:t>617.8(3)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The license is late when the license has not been renewed by the expiration date. The licensee will be assessed a late fee as specified in rule 481—617.2(17A,147,152,152E,272C). To renew a late license, the licensee shall complete the renewal requirements and submit the late fee before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617.8(5)</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The license becomes inactive when the license has not been renewed by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inactive license is not reactivated, it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resides in Iowa or a noncompact state, the licensee shall not practice nursing in Iowa until the license is reactivated to active status. If the licensee is identified as engaging in the practice of nursing with an inactive license, disciplinary proceedings may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obtain continuing education credit or pay fees while the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617.8(6)</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licensee who holds a multistate license issued by this board and who changes the licensee’s primary state of residency to another party state must apply for licensure in the new party state. Once the board has been notified by the new party state that a new license has been issued, the Iowa multistate license will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617.8(7)</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reactivate an inactive license, the licensee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the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continuing education report form and supporting continuing education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have obtained 36 contact hours of continuing education, as specified in </w:t>
      </w:r>
      <w:hyperlink r:id="rId32">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 within the 36 months prior to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licensee has not held an active license in any jurisdiction within the previous five years, the licensee must complete a nurse refresher course in accordance with rule </w:t>
      </w:r>
      <w:hyperlink r:id="rId33">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(152) within 12 months of applying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all necessary materials, the licensee will be issued a license for a 24- to 36-month period. At the time of the next renewal, the license will be placed on a three-year renewal cycle. License expiration is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to complete the reactivation of licensure process within 12 months from the date of initial application must reapply. 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481—617.9</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Verification. </w:t>
      </w:r>
      <w:r>
        <w:rPr>
          <w:rFonts w:ascii="Times New Roman" w:hAnsi="Times New Roman"/>
          <w:b w:val="false"/>
          <w:i w:val="false"/>
          <w:color w:val="000000"/>
          <w:sz w:val="22"/>
        </w:rPr>
        <w:t xml:space="preserve">Upon written request from the licensee or another jurisdiction and payment of the verification fee as specified in rule </w:t>
      </w:r>
      <w:hyperlink r:id="rId34">
        <w:r>
          <w:rPr>
            <w:rStyle w:val="Hyperlink"/>
            <w:rFonts w:ascii="Times New Roman" w:hAnsi="Times New Roman"/>
            <w:b w:val="false"/>
            <w:i w:val="false"/>
            <w:color w:val="000000"/>
            <w:sz w:val="22"/>
          </w:rPr>
          <w:t>481—617.2</w:t>
        </w:r>
      </w:hyperlink>
      <w:r>
        <w:rPr>
          <w:rFonts w:ascii="Times New Roman" w:hAnsi="Times New Roman"/>
          <w:b w:val="false"/>
          <w:i w:val="false"/>
          <w:color w:val="000000"/>
          <w:sz w:val="22"/>
        </w:rPr>
        <w:t>(17A,147,152,152E,272C), the board will provide a certified statement to another jurisdiction or entity that the license of a registered nurse, licensed practical nurse or advanced registered nurse practitioner is active, inactive or encumbered/disciplined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617.10(1)</w:t>
      </w:r>
      <w:r>
        <w:rPr>
          <w:rFonts w:ascii="Times New Roman" w:hAnsi="Times New Roman"/>
          <w:b w:val="false"/>
          <w:i w:val="false"/>
          <w:color w:val="000000"/>
          <w:sz w:val="22"/>
        </w:rPr>
        <w:t> </w:t>
      </w:r>
      <w:r>
        <w:rPr>
          <w:rFonts w:ascii="Times New Roman" w:hAnsi="Times New Roman"/>
          <w:b w:val="false"/>
          <w:i w:val="false"/>
          <w:color w:val="000000"/>
          <w:sz w:val="22"/>
        </w:rPr>
        <w:t>Prior to the denial of licensure to an applicant, the board issues a preliminary notice of denial that cites the factual and legal basis for denying the application, notifies the applicant of the appeal process and specifies the date upon which the denial will become final if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617.10(2)</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issued a preliminary notice of denial may appeal the notice and request a hearing on the issues related to the preliminary notice of denial by serving a request for hearing upon the executive director within 30 days following the date the preliminary notice of denial was mailed. The request for hearing shall specify the factual or legal errors in the preliminary notice of denial and provide any additional written information or documents in support of the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617.10(3)</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held pursuant to this rule shall be held in accordance with the process outlined in </w:t>
      </w:r>
      <w:hyperlink r:id="rId3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617.10(4)</w:t>
      </w:r>
      <w:r>
        <w:rPr>
          <w:rFonts w:ascii="Times New Roman" w:hAnsi="Times New Roman"/>
          <w:b w:val="false"/>
          <w:i w:val="false"/>
          <w:color w:val="000000"/>
          <w:sz w:val="22"/>
        </w:rPr>
        <w:t> </w:t>
      </w:r>
      <w:r>
        <w:rPr>
          <w:rFonts w:ascii="Times New Roman" w:hAnsi="Times New Roman"/>
          <w:b w:val="false"/>
          <w:i w:val="false"/>
          <w:color w:val="000000"/>
          <w:sz w:val="22"/>
        </w:rPr>
        <w:t>If an applicant does not appeal a preliminary notice of denial, the preliminary notice of denial automatically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481—617.11</w:t>
      </w:r>
      <w:r>
        <w:rPr>
          <w:rFonts w:ascii="Times New Roman" w:hAnsi="Times New Roman"/>
          <w:b/>
          <w:i w:val="false"/>
          <w:color w:val="000000"/>
          <w:sz w:val="22"/>
        </w:rPr>
        <w:t xml:space="preserve">(152) </w:t>
      </w:r>
      <w:r>
        <w:rPr>
          <w:rFonts w:ascii="Times New Roman" w:hAnsi="Times New Roman"/>
          <w:b/>
          <w:i w:val="false"/>
          <w:color w:val="000000"/>
          <w:sz w:val="22"/>
        </w:rPr>
        <w:t xml:space="preserve">Nurse refresher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617.11(1)</w:t>
      </w:r>
      <w:r>
        <w:rPr>
          <w:rFonts w:ascii="Times New Roman" w:hAnsi="Times New Roman"/>
          <w:b w:val="false"/>
          <w:i w:val="false"/>
          <w:color w:val="000000"/>
          <w:sz w:val="22"/>
        </w:rPr>
        <w:t> </w:t>
      </w:r>
      <w:r>
        <w:rPr>
          <w:rFonts w:ascii="Times New Roman" w:hAnsi="Times New Roman"/>
          <w:b w:val="false"/>
          <w:i w:val="false"/>
          <w:color w:val="000000"/>
          <w:sz w:val="22"/>
        </w:rPr>
        <w:t>A nurse refresher course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theory, with content in basic nursing skills, pharmacology, physical assessment, intravenous (IV) therapy (registered nurse only), and legal and ethical considerations in health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hands-on supervised clinical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617.11(2)</w:t>
      </w:r>
      <w:r>
        <w:rPr>
          <w:rFonts w:ascii="Times New Roman" w:hAnsi="Times New Roman"/>
          <w:b w:val="false"/>
          <w:i w:val="false"/>
          <w:color w:val="000000"/>
          <w:sz w:val="22"/>
        </w:rPr>
        <w:t> </w:t>
      </w:r>
      <w:r>
        <w:rPr>
          <w:rFonts w:ascii="Times New Roman" w:hAnsi="Times New Roman"/>
          <w:b w:val="false"/>
          <w:i w:val="false"/>
          <w:color w:val="000000"/>
          <w:sz w:val="22"/>
        </w:rPr>
        <w:t>To participate in the clinical component of a nurse refresher course in Iowa, a licensee must have an active license to practice nursing in Iowa or a limited authorization issued by the board. A licensee shall request the limited authorization from the board prior to beginning the clinical component of a nurse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617.11(3)</w:t>
      </w:r>
      <w:r>
        <w:rPr>
          <w:rFonts w:ascii="Times New Roman" w:hAnsi="Times New Roman"/>
          <w:b w:val="false"/>
          <w:i w:val="false"/>
          <w:color w:val="000000"/>
          <w:sz w:val="22"/>
        </w:rPr>
        <w:t> </w:t>
      </w:r>
      <w:r>
        <w:rPr>
          <w:rFonts w:ascii="Times New Roman" w:hAnsi="Times New Roman"/>
          <w:b w:val="false"/>
          <w:i w:val="false"/>
          <w:color w:val="000000"/>
          <w:sz w:val="22"/>
        </w:rPr>
        <w:t>To receive a certificate of completion from the nurse refresher course, a licensee must complete all requirements of the nurse refresher course to the satisfaction of the course provider. The course provider shall submit proof of the licensee’s completion of the nurse refresher course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481—617.12</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617.12(2)</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subrule </w:t>
      </w:r>
      <w:hyperlink r:id="rId36">
        <w:r>
          <w:rPr>
            <w:rStyle w:val="Hyperlink"/>
            <w:rFonts w:ascii="Times New Roman" w:hAnsi="Times New Roman"/>
            <w:b w:val="false"/>
            <w:i w:val="false"/>
            <w:color w:val="000000"/>
            <w:sz w:val="22"/>
          </w:rPr>
          <w:t>617.11(3)</w:t>
        </w:r>
      </w:hyperlink>
      <w:r>
        <w:rPr>
          <w:rFonts w:ascii="Times New Roman" w:hAnsi="Times New Roman"/>
          <w:b w:val="false"/>
          <w:i w:val="false"/>
          <w:color w:val="000000"/>
          <w:sz w:val="22"/>
        </w:rPr>
        <w:t>,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the license application to be considered complete, an applicant with one or more convictions shall submit the complete criminal record for each conviction and a personal statement regarding whether each conviction directly relates to the duties and responsibilities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part of the license application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3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deem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petitioner’s or applicant’s convictions include at least one disqualifying offense. Upon the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617.12(5)</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5/12/70; amended 8/11/70]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2/20/76, Notice 12/29/75—published 3/8/76, effective 4/12/76]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5/3/76, Notices 1/12/76, 3/22/76—published 5/17/76, effective 6/21/76]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5/24/76, Notice 4/19/76—published 6/14/76, effective 7/19/76]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12/3/76, Notice 8/9/76—published 12/29/76, effective 2/2/77]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3/9/77, Notice 12/29/76—published 4/6/77, effective 5/11/77]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3/18/77, Notice 8/9/76—published 4/6/77, effective 5/11/77]</w:t>
      </w:r>
    </w:p>
    <w:p>
      <w:pPr>
        <w:spacing w:before="0" w:after="0"/>
        <w:ind w:left="120"/>
        <w:jc w:val="center"/>
      </w:pPr>
      <w:r>
        <w:rPr>
          <w:rFonts w:ascii="Times New Roman" w:hAnsi="Times New Roman"/>
          <w:b w:val="false"/>
          <w:i w:val="false"/>
          <w:color w:val="000000"/>
          <w:sz w:val="21"/>
        </w:rPr>
        <w:t>[Filed 6/24/77, Notices 12/15/76, 4/20/77—published 7/13/77, effective 8/17/77]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emergency 1/23/78—published 2/8/78, effective 1/23/78]</w:t>
      </w:r>
    </w:p>
    <w:p>
      <w:pPr>
        <w:spacing w:before="0" w:after="0"/>
        <w:ind w:left="120"/>
        <w:jc w:val="center"/>
      </w:pPr>
      <w:r>
        <w:rPr>
          <w:rFonts w:ascii="Times New Roman" w:hAnsi="Times New Roman"/>
          <w:b w:val="false"/>
          <w:i w:val="false"/>
          <w:color w:val="000000"/>
          <w:sz w:val="21"/>
        </w:rPr>
        <w:t>[Filed 4/21/78, Notice 2/22/78—published 5/17/78, effective 6/21/78]</w:t>
      </w:r>
    </w:p>
    <w:p>
      <w:pPr>
        <w:spacing w:before="0" w:after="0"/>
        <w:ind w:left="120"/>
        <w:jc w:val="center"/>
      </w:pPr>
      <w:r>
        <w:rPr>
          <w:rFonts w:ascii="Times New Roman" w:hAnsi="Times New Roman"/>
          <w:b w:val="false"/>
          <w:i w:val="false"/>
          <w:color w:val="000000"/>
          <w:sz w:val="21"/>
        </w:rPr>
        <w:t>[Filed 4/21/78, Notice 3/8/78—published 5/1/78,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7/17/80, Notice 5/14/80—published 8/6/80, effective 9/10/80]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after Notice 6/21/82, Notice 5/12/82—published 7/7/82, effective 6/21/82]</w:t>
      </w:r>
    </w:p>
    <w:p>
      <w:pPr>
        <w:spacing w:before="0" w:after="0"/>
        <w:ind w:left="120"/>
        <w:jc w:val="center"/>
      </w:pPr>
      <w:r>
        <w:rPr>
          <w:rFonts w:ascii="Times New Roman" w:hAnsi="Times New Roman"/>
          <w:b w:val="false"/>
          <w:i w:val="false"/>
          <w:color w:val="000000"/>
          <w:sz w:val="21"/>
        </w:rPr>
        <w:t>[Filed emergency after Notice 2/10/83, Notice 1/5/83—published 3/2/83, effective 2/10/83]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7/19/85, Notice 5/22/85—published 8/14/85, effective 9/18/85]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after Notice 4/15/86, Notice 2/26/86—published 5/7/86, effective 4/18/86]</w:t>
      </w:r>
    </w:p>
    <w:p>
      <w:pPr>
        <w:spacing w:before="0" w:after="0"/>
        <w:ind w:left="120"/>
        <w:jc w:val="center"/>
      </w:pPr>
      <w:r>
        <w:rPr>
          <w:rFonts w:ascii="Times New Roman" w:hAnsi="Times New Roman"/>
          <w:b w:val="false"/>
          <w:i w:val="false"/>
          <w:color w:val="000000"/>
          <w:sz w:val="21"/>
        </w:rPr>
        <w:t>[Filed 9/22/86, Notice 8/13/86—published 10/8/86, effective 11/12/86]</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10/2/87, Notice 7/15/87—published 10/21/87, effective 11/25/87]</w:t>
      </w:r>
    </w:p>
    <w:p>
      <w:pPr>
        <w:spacing w:before="0" w:after="0"/>
        <w:ind w:left="120"/>
        <w:jc w:val="center"/>
      </w:pPr>
      <w:r>
        <w:rPr>
          <w:rFonts w:ascii="Times New Roman" w:hAnsi="Times New Roman"/>
          <w:b w:val="false"/>
          <w:i w:val="false"/>
          <w:color w:val="000000"/>
          <w:sz w:val="21"/>
        </w:rPr>
        <w:t>[Filed 2/17/88, Notice 12/16/87—published 3/9/88, effective 4/13/88]</w:t>
      </w:r>
    </w:p>
    <w:p>
      <w:pPr>
        <w:spacing w:before="0" w:after="0"/>
        <w:ind w:left="120"/>
        <w:jc w:val="center"/>
      </w:pPr>
      <w:r>
        <w:rPr>
          <w:rFonts w:ascii="Times New Roman" w:hAnsi="Times New Roman"/>
          <w:b w:val="false"/>
          <w:i w:val="false"/>
          <w:color w:val="000000"/>
          <w:sz w:val="21"/>
        </w:rPr>
        <w:t>[Filed 3/10/88, Notice 9/9/87—published 4/6/88, effective 7/1/88]</w:t>
      </w:r>
    </w:p>
    <w:p>
      <w:pPr>
        <w:spacing w:before="0" w:after="0"/>
        <w:ind w:left="120"/>
        <w:jc w:val="center"/>
      </w:pPr>
      <w:r>
        <w:rPr>
          <w:rFonts w:ascii="Times New Roman" w:hAnsi="Times New Roman"/>
          <w:b w:val="false"/>
          <w:i w:val="false"/>
          <w:color w:val="000000"/>
          <w:sz w:val="21"/>
        </w:rPr>
        <w:t>[Filed emergency 4/15/88 after Notice 2/24/88—published 5/4/88, effective 4/15/88]</w:t>
      </w:r>
    </w:p>
    <w:p>
      <w:pPr>
        <w:spacing w:before="0" w:after="0"/>
        <w:ind w:left="120"/>
        <w:jc w:val="center"/>
      </w:pPr>
      <w:r>
        <w:rPr>
          <w:rFonts w:ascii="Times New Roman" w:hAnsi="Times New Roman"/>
          <w:b w:val="false"/>
          <w:i w:val="false"/>
          <w:color w:val="000000"/>
          <w:sz w:val="21"/>
        </w:rPr>
        <w:t>[Filed 8/4/88, Notice 4/20/88—published 8/24/88, effective 9/28/88]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9/12/88, Notice 6/29/88—published 10/5/88, effective 11/9/88]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10/6/88, Notice 8/24/88—published 11/2/88, effective 12/7/88]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3/15/90, Notice 1/10/90—published 4/4/90, effective 5/9/90]</w:t>
      </w:r>
    </w:p>
    <w:p>
      <w:pPr>
        <w:spacing w:before="0" w:after="0"/>
        <w:ind w:left="120"/>
        <w:jc w:val="center"/>
      </w:pPr>
      <w:r>
        <w:rPr>
          <w:rFonts w:ascii="Times New Roman" w:hAnsi="Times New Roman"/>
          <w:b w:val="false"/>
          <w:i w:val="false"/>
          <w:color w:val="000000"/>
          <w:sz w:val="21"/>
        </w:rPr>
        <w:t>[Filed 12/20/91, Notice 10/16/91—published 1/8/92, effective 2/12/92]</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12/8/93, Notice 10/13/93—published 1/5/94, effective 2/9/94]</w:t>
      </w:r>
    </w:p>
    <w:p>
      <w:pPr>
        <w:spacing w:before="0" w:after="0"/>
        <w:ind w:left="120"/>
        <w:jc w:val="center"/>
      </w:pPr>
      <w:r>
        <w:rPr>
          <w:rFonts w:ascii="Times New Roman" w:hAnsi="Times New Roman"/>
          <w:b w:val="false"/>
          <w:i w:val="false"/>
          <w:color w:val="000000"/>
          <w:sz w:val="21"/>
        </w:rPr>
        <w:t>[Filed 6/16/94, Notice 4/13/94—published 7/6/94, effective 8/10/94]</w:t>
      </w:r>
    </w:p>
    <w:p>
      <w:pPr>
        <w:spacing w:before="0" w:after="0"/>
        <w:ind w:left="120"/>
        <w:jc w:val="center"/>
      </w:pPr>
      <w:r>
        <w:rPr>
          <w:rFonts w:ascii="Times New Roman" w:hAnsi="Times New Roman"/>
          <w:b w:val="false"/>
          <w:i w:val="false"/>
          <w:color w:val="000000"/>
          <w:sz w:val="21"/>
        </w:rPr>
        <w:t>[Filed 9/30/94, Notice 7/6/94—published 10/26/94, effective 11/30/94]</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10/5/95, Notice 7/5/95—published 10/25/95, effective 11/29/95]</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8/17/99, Notice 6/30/99—published 9/8/99, effective 10/13/99]</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10/20/99—published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2/8/02, Notice 12/26/01—published 3/6/02, effective 4/10/02]</w:t>
      </w:r>
    </w:p>
    <w:p>
      <w:pPr>
        <w:spacing w:before="0" w:after="0"/>
        <w:ind w:left="120"/>
        <w:jc w:val="center"/>
      </w:pPr>
      <w:r>
        <w:rPr>
          <w:rFonts w:ascii="Times New Roman" w:hAnsi="Times New Roman"/>
          <w:b w:val="false"/>
          <w:i w:val="false"/>
          <w:color w:val="000000"/>
          <w:sz w:val="21"/>
        </w:rPr>
        <w:t>[Filed emergency 6/7/02—published 6/26/02, effective 7/1/02]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12/6/02, Notice 10/2/02—published 12/25/02, effective 1/29/03]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3/22/06, Notice 1/4/06—published 4/12/06, effective 5/17/06]</w:t>
      </w:r>
    </w:p>
    <w:p>
      <w:pPr>
        <w:spacing w:before="0" w:after="0"/>
        <w:ind w:left="120"/>
        <w:jc w:val="center"/>
      </w:pPr>
      <w:r>
        <w:rPr>
          <w:rFonts w:ascii="Times New Roman" w:hAnsi="Times New Roman"/>
          <w:b w:val="false"/>
          <w:i w:val="false"/>
          <w:color w:val="000000"/>
          <w:sz w:val="21"/>
        </w:rPr>
        <w:t>[Filed 6/19/07, Notice 3/28/07—published 7/18/07, effective 8/22/07]</w:t>
      </w:r>
    </w:p>
    <w:p>
      <w:pPr>
        <w:spacing w:before="0" w:after="0"/>
        <w:ind w:left="120"/>
        <w:jc w:val="center"/>
      </w:pPr>
      <w:r>
        <w:rPr>
          <w:rFonts w:ascii="Times New Roman" w:hAnsi="Times New Roman"/>
          <w:b w:val="false"/>
          <w:i w:val="false"/>
          <w:color w:val="000000"/>
          <w:sz w:val="21"/>
        </w:rPr>
        <w:t>[Filed ARC 7664B</w:t>
      </w:r>
      <w:r>
        <w:rPr>
          <w:rFonts w:ascii="Times New Roman" w:hAnsi="Times New Roman"/>
          <w:b w:val="false"/>
          <w:i w:val="false"/>
          <w:color w:val="000000"/>
          <w:sz w:val="21"/>
        </w:rPr>
        <w:t xml:space="preserve"> (Notice ARC 7485B, IAB 1/14/09)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8222B</w:t>
      </w:r>
      <w:r>
        <w:rPr>
          <w:rFonts w:ascii="Times New Roman" w:hAnsi="Times New Roman"/>
          <w:b w:val="false"/>
          <w:i w:val="false"/>
          <w:color w:val="000000"/>
          <w:sz w:val="21"/>
        </w:rPr>
        <w:t xml:space="preserve"> (Notice ARC 7889B,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8810B</w:t>
      </w:r>
      <w:r>
        <w:rPr>
          <w:rFonts w:ascii="Times New Roman" w:hAnsi="Times New Roman"/>
          <w:b w:val="false"/>
          <w:i w:val="false"/>
          <w:color w:val="000000"/>
          <w:sz w:val="21"/>
        </w:rPr>
        <w:t xml:space="preserve"> (Notice ARC 8675B,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1130C</w:t>
      </w:r>
      <w:r>
        <w:rPr>
          <w:rFonts w:ascii="Times New Roman" w:hAnsi="Times New Roman"/>
          <w:b w:val="false"/>
          <w:i w:val="false"/>
          <w:color w:val="000000"/>
          <w:sz w:val="21"/>
        </w:rPr>
        <w:t xml:space="preserve"> (Notice ARC 0810C, IAB 6/26/13)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1131C</w:t>
      </w:r>
      <w:r>
        <w:rPr>
          <w:rFonts w:ascii="Times New Roman" w:hAnsi="Times New Roman"/>
          <w:b w:val="false"/>
          <w:i w:val="false"/>
          <w:color w:val="000000"/>
          <w:sz w:val="21"/>
        </w:rPr>
        <w:t xml:space="preserve"> (Notice ARC 0876C, IAB 7/24/13)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1815C</w:t>
      </w:r>
      <w:r>
        <w:rPr>
          <w:rFonts w:ascii="Times New Roman" w:hAnsi="Times New Roman"/>
          <w:b w:val="false"/>
          <w:i w:val="false"/>
          <w:color w:val="000000"/>
          <w:sz w:val="21"/>
        </w:rPr>
        <w:t xml:space="preserve"> (Notice ARC 1569C, IAB 8/6/14)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3465C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11/22/17, effective 1/1/18]</w:t>
      </w:r>
    </w:p>
    <w:p>
      <w:pPr>
        <w:spacing w:before="0" w:after="0"/>
        <w:ind w:left="120"/>
        <w:jc w:val="center"/>
      </w:pPr>
      <w:r>
        <w:rPr>
          <w:rFonts w:ascii="Times New Roman" w:hAnsi="Times New Roman"/>
          <w:b w:val="false"/>
          <w:i w:val="false"/>
          <w:color w:val="000000"/>
          <w:sz w:val="21"/>
        </w:rPr>
        <w:t>[Filed ARC 4413C</w:t>
      </w:r>
      <w:r>
        <w:rPr>
          <w:rFonts w:ascii="Times New Roman" w:hAnsi="Times New Roman"/>
          <w:b w:val="false"/>
          <w:i w:val="false"/>
          <w:color w:val="000000"/>
          <w:sz w:val="21"/>
        </w:rPr>
        <w:t xml:space="preserve"> (Notice ARC 4286C, IAB 2/13/19)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4926C</w:t>
      </w:r>
      <w:r>
        <w:rPr>
          <w:rFonts w:ascii="Times New Roman" w:hAnsi="Times New Roman"/>
          <w:b w:val="false"/>
          <w:i w:val="false"/>
          <w:color w:val="000000"/>
          <w:sz w:val="21"/>
        </w:rPr>
        <w:t xml:space="preserve"> (Notice ARC 4743C,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6197C</w:t>
      </w:r>
      <w:r>
        <w:rPr>
          <w:rFonts w:ascii="Times New Roman" w:hAnsi="Times New Roman"/>
          <w:b w:val="false"/>
          <w:i w:val="false"/>
          <w:color w:val="000000"/>
          <w:sz w:val="21"/>
        </w:rPr>
        <w:t xml:space="preserve"> (Notice ARC 6048C,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9160C</w:t>
      </w:r>
      <w:r>
        <w:rPr>
          <w:rFonts w:ascii="Times New Roman" w:hAnsi="Times New Roman"/>
          <w:b w:val="false"/>
          <w:i w:val="false"/>
          <w:color w:val="000000"/>
          <w:sz w:val="21"/>
        </w:rPr>
        <w:t xml:space="preserve"> (Notice ARC 8767C,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History relating also to “Licensure to Practice—Licensed Practical Nurse,” Ch 4 prior to IAC 5/23/84.</w:t>
      </w:r>
    </w:p>
    <w:p>
      <w:pPr>
        <w:pBdr>
          <w:bottom w:space="2"/>
        </w:pBdr>
        <w:spacing w:before="0" w:after="0"/>
        <w:ind w:left="120"/>
        <w:jc w:val="both"/>
      </w:pPr>
      <w:r>
        <w:rPr>
          <w:rFonts w:ascii="Times New Roman" w:hAnsi="Times New Roman"/>
          <w:b w:val="false"/>
          <w:i w:val="false"/>
          <w:color w:val="000000"/>
          <w:sz w:val="22"/>
        </w:rPr>
        <w:t>Effective date of 11/9/88 delayed 70 days by the Administrative Rules Review Committee at its October meeting. Delay lifted by ARRC 11/16/88.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E.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ac/rule/655.3.2.pdf" Type="http://schemas.openxmlformats.org/officeDocument/2006/relationships/hyperlink" Id="rId7"/>
    <Relationship TargetMode="External" Target="https://www.legis.iowa.gov/docs/ico/chapter/152.1.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ac/rule/481.617.11.pdf" Type="http://schemas.openxmlformats.org/officeDocument/2006/relationships/hyperlink" Id="rId10"/>
    <Relationship TargetMode="External" Target="https://www.legis.iowa.gov/docs/iac/rule/481.617.11.pdf" Type="http://schemas.openxmlformats.org/officeDocument/2006/relationships/hyperlink" Id="rId11"/>
    <Relationship TargetMode="External" Target="https://www.legis.iowa.gov/docs/iac/rule/655.617.5.pdf" Type="http://schemas.openxmlformats.org/officeDocument/2006/relationships/hyperlink" Id="rId12"/>
    <Relationship TargetMode="External" Target="https://www.legis.iowa.gov/docs/iac/rule/655.617.5.pdf" Type="http://schemas.openxmlformats.org/officeDocument/2006/relationships/hyperlink" Id="rId13"/>
    <Relationship TargetMode="External" Target="https://www.legis.iowa.gov/docs/iac/rule/655.617.5.pdf" Type="http://schemas.openxmlformats.org/officeDocument/2006/relationships/hyperlink" Id="rId14"/>
    <Relationship TargetMode="External" Target="https://www.legis.iowa.gov/docs/iac/rule/655.617.5.pdf" Type="http://schemas.openxmlformats.org/officeDocument/2006/relationships/hyperlink" Id="rId15"/>
    <Relationship TargetMode="External" Target="https://www.legis.iowa.gov/docs/iac/rule/655.617.5.pdf" Type="http://schemas.openxmlformats.org/officeDocument/2006/relationships/hyperlink" Id="rId16"/>
    <Relationship TargetMode="External" Target="https://www.legis.iowa.gov/docs/iac/rule/655.617.5.pdf" Type="http://schemas.openxmlformats.org/officeDocument/2006/relationships/hyperlink" Id="rId17"/>
    <Relationship TargetMode="External" Target="https://www.legis.iowa.gov/docs/iac/rule/655.617.4.pdf" Type="http://schemas.openxmlformats.org/officeDocument/2006/relationships/hyperlink" Id="rId18"/>
    <Relationship TargetMode="External" Target="https://www.legis.iowa.gov/docs/iac/rule/481.617.12.pdf" Type="http://schemas.openxmlformats.org/officeDocument/2006/relationships/hyperlink" Id="rId19"/>
    <Relationship TargetMode="External" Target="http://www.nursys.com" Type="http://schemas.openxmlformats.org/officeDocument/2006/relationships/hyperlink" Id="rId20"/>
    <Relationship TargetMode="External" Target="https://www.legis.iowa.gov/docs/iac/rule/481.617.11.pdf" Type="http://schemas.openxmlformats.org/officeDocument/2006/relationships/hyperlink" Id="rId21"/>
    <Relationship TargetMode="External" Target="https://www.legis.iowa.gov/docs/iac/rule/655.617.5.pdf" Type="http://schemas.openxmlformats.org/officeDocument/2006/relationships/hyperlink" Id="rId22"/>
    <Relationship TargetMode="External" Target="https://www.legis.iowa.gov/docs/iac/rule/655.617.5.pdf" Type="http://schemas.openxmlformats.org/officeDocument/2006/relationships/hyperlink" Id="rId23"/>
    <Relationship TargetMode="External" Target="https://www.legis.iowa.gov/docs/iac/chapter/481.61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ac/rule/481.617.8.pdf" Type="http://schemas.openxmlformats.org/officeDocument/2006/relationships/hyperlink" Id="rId26"/>
    <Relationship TargetMode="External" Target="https://www.legis.iowa.gov/docs/ico/chapter/235B.16.pdf" Type="http://schemas.openxmlformats.org/officeDocument/2006/relationships/hyperlink" Id="rId27"/>
    <Relationship TargetMode="External" Target="https://www.legis.iowa.gov/docs/iac/rule/481.617.8.pdf" Type="http://schemas.openxmlformats.org/officeDocument/2006/relationships/hyperlink" Id="rId28"/>
    <Relationship TargetMode="External" Target="https://www.legis.iowa.gov/docs/iac/rule/481.617.8.pdf" Type="http://schemas.openxmlformats.org/officeDocument/2006/relationships/hyperlink" Id="rId29"/>
    <Relationship TargetMode="External" Target="https://www.legis.iowa.gov/docs/iac/chapter/481.619.pdf" Type="http://schemas.openxmlformats.org/officeDocument/2006/relationships/hyperlink" Id="rId30"/>
    <Relationship TargetMode="External" Target="https://www.legis.iowa.gov/docs/iac/rule/481.617.8.pdf" Type="http://schemas.openxmlformats.org/officeDocument/2006/relationships/hyperlink" Id="rId31"/>
    <Relationship TargetMode="External" Target="https://www.legis.iowa.gov/docs/iac/chapter/481.619.pdf" Type="http://schemas.openxmlformats.org/officeDocument/2006/relationships/hyperlink" Id="rId32"/>
    <Relationship TargetMode="External" Target="https://www.legis.iowa.gov/docs/iac/rule/481.617.11.pdf" Type="http://schemas.openxmlformats.org/officeDocument/2006/relationships/hyperlink" Id="rId33"/>
    <Relationship TargetMode="External" Target="https://www.legis.iowa.gov/docs/iac/rule/481.617.2.pdf" Type="http://schemas.openxmlformats.org/officeDocument/2006/relationships/hyperlink" Id="rId34"/>
    <Relationship TargetMode="External" Target="https://www.legis.iowa.gov/docs/iac/chapter/481.506.pdf" Type="http://schemas.openxmlformats.org/officeDocument/2006/relationships/hyperlink" Id="rId35"/>
    <Relationship TargetMode="External" Target="https://www.legis.iowa.gov/docs/iac/rule/655.617.11.pdf" Type="http://schemas.openxmlformats.org/officeDocument/2006/relationships/hyperlink" Id="rId36"/>
    <Relationship TargetMode="External" Target="https://www.legis.iowa.gov/docs/ico/chapter/272C.15.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152.pdf" Type="http://schemas.openxmlformats.org/officeDocument/2006/relationships/hyperlink" Id="rId41"/>
    <Relationship TargetMode="External" Target="https://www.legis.iowa.gov/docs/ico/chapter/152E.pdf" Type="http://schemas.openxmlformats.org/officeDocument/2006/relationships/hyperlink" Id="rId42"/>
    <Relationship TargetMode="External" Target="https://www.legis.iowa.gov/docs/ico/chapter/272C.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