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NURSING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615</w:t>
      </w:r>
    </w:p>
    <w:p>
      <w:pPr>
        <w:spacing w:before="0" w:after="0"/>
        <w:ind w:left="120"/>
        <w:jc w:val="center"/>
      </w:pPr>
      <w:r>
        <w:rPr>
          <w:rFonts w:ascii="Times New Roman" w:hAnsi="Times New Roman"/>
          <w:b w:val="false"/>
          <w:i w:val="false"/>
          <w:color w:val="000000"/>
          <w:sz w:val="21"/>
        </w:rPr>
        <w:t>ADMINISTRATIVE AND REGULATORY AUTHORITY</w:t>
      </w:r>
    </w:p>
    <w:p>
      <w:pPr>
        <w:spacing w:before="0" w:after="0"/>
        <w:ind w:left="120"/>
        <w:jc w:val="center"/>
      </w:pPr>
      <w:r>
        <w:rPr>
          <w:rFonts w:ascii="Times New Roman" w:hAnsi="Times New Roman"/>
          <w:b w:val="false"/>
          <w:i w:val="false"/>
          <w:color w:val="000000"/>
          <w:sz w:val="20"/>
        </w:rPr>
        <w:t>[Prior to 8/26/87, Nursing Board[590] Ch 1]</w:t>
      </w:r>
    </w:p>
    <w:p>
      <w:pPr>
        <w:spacing w:before="0" w:after="0"/>
        <w:ind w:left="120"/>
        <w:jc w:val="center"/>
      </w:pPr>
      <w:r>
        <w:rPr>
          <w:rFonts w:ascii="Times New Roman" w:hAnsi="Times New Roman"/>
          <w:b w:val="false"/>
          <w:i w:val="false"/>
          <w:color w:val="000000"/>
          <w:sz w:val="20"/>
        </w:rPr>
        <w:t>[Prior to 6/11/25, see Nursing Board[655]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481—615.1</w:t>
      </w:r>
      <w:r>
        <w:rPr>
          <w:rFonts w:ascii="Times New Roman" w:hAnsi="Times New Roman"/>
          <w:b/>
          <w:i w:val="false"/>
          <w:color w:val="000000"/>
          <w:sz w:val="22"/>
        </w:rPr>
        <w:t xml:space="preserve">(17A,147,152,152E,272C) </w:t>
      </w:r>
      <w:r>
        <w:rPr>
          <w:rFonts w:ascii="Times New Roman" w:hAnsi="Times New Roman"/>
          <w:b/>
          <w:i w:val="false"/>
          <w:color w:val="000000"/>
          <w:sz w:val="22"/>
        </w:rPr>
        <w:t xml:space="preserve">Description and organization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615.1(1)</w:t>
      </w:r>
      <w:r>
        <w:rPr>
          <w:rFonts w:ascii="Times New Roman" w:hAnsi="Times New Roman"/>
          <w:b w:val="false"/>
          <w:i w:val="false"/>
          <w:color w:val="000000"/>
          <w:sz w:val="22"/>
        </w:rPr>
        <w:t> </w:t>
      </w:r>
      <w:r>
        <w:rPr>
          <w:rFonts w:ascii="Times New Roman" w:hAnsi="Times New Roman"/>
          <w:b w:val="false"/>
          <w:i/>
          <w:color w:val="000000"/>
          <w:sz w:val="22"/>
        </w:rPr>
        <w:t xml:space="preserve">Board composition. </w:t>
      </w:r>
      <w:r>
        <w:rPr>
          <w:rFonts w:ascii="Times New Roman" w:hAnsi="Times New Roman"/>
          <w:b w:val="false"/>
          <w:i w:val="false"/>
          <w:color w:val="000000"/>
          <w:sz w:val="22"/>
        </w:rPr>
        <w:t xml:space="preserve">The composition of the board is established in Iowa Code section </w:t>
      </w:r>
      <w:hyperlink r:id="rId5">
        <w:r>
          <w:rPr>
            <w:rStyle w:val="Hyperlink"/>
            <w:rFonts w:ascii="Times New Roman" w:hAnsi="Times New Roman"/>
            <w:b w:val="false"/>
            <w:i w:val="false"/>
            <w:color w:val="000000"/>
            <w:sz w:val="22"/>
          </w:rPr>
          <w:t>147.14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615.1(2)</w:t>
      </w:r>
      <w:r>
        <w:rPr>
          <w:rFonts w:ascii="Times New Roman" w:hAnsi="Times New Roman"/>
          <w:b w:val="false"/>
          <w:i w:val="false"/>
          <w:color w:val="000000"/>
          <w:sz w:val="22"/>
        </w:rPr>
        <w:t> </w:t>
      </w:r>
      <w:r>
        <w:rPr>
          <w:rFonts w:ascii="Times New Roman" w:hAnsi="Times New Roman"/>
          <w:b w:val="false"/>
          <w:i/>
          <w:color w:val="000000"/>
          <w:sz w:val="22"/>
        </w:rPr>
        <w:t xml:space="preserve">Board leadership and committees. </w:t>
      </w:r>
      <w:r>
        <w:rPr>
          <w:rFonts w:ascii="Times New Roman" w:hAnsi="Times New Roman"/>
          <w:b w:val="false"/>
          <w:i w:val="false"/>
          <w:color w:val="000000"/>
          <w:sz w:val="22"/>
        </w:rPr>
        <w:t>The board annually selects a chairperson and a vice chairperson from its own membership. The election of chairperson and vice chairperson, as well as standing committee assignments, is done during the first regularly scheduled meeting after May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615.1(3)</w:t>
      </w:r>
      <w:r>
        <w:rPr>
          <w:rFonts w:ascii="Times New Roman" w:hAnsi="Times New Roman"/>
          <w:b w:val="false"/>
          <w:i w:val="false"/>
          <w:color w:val="000000"/>
          <w:sz w:val="22"/>
        </w:rPr>
        <w:t> </w:t>
      </w:r>
      <w:r>
        <w:rPr>
          <w:rFonts w:ascii="Times New Roman" w:hAnsi="Times New Roman"/>
          <w:b w:val="false"/>
          <w:i/>
          <w:color w:val="000000"/>
          <w:sz w:val="22"/>
        </w:rPr>
        <w:t xml:space="preserve">Board authority. </w:t>
      </w:r>
      <w:r>
        <w:rPr>
          <w:rFonts w:ascii="Times New Roman" w:hAnsi="Times New Roman"/>
          <w:b w:val="false"/>
          <w:i w:val="false"/>
          <w:color w:val="000000"/>
          <w:sz w:val="22"/>
        </w:rPr>
        <w:t xml:space="preserve">The board’s authority for regulating nursing education, nursing practice, and continuing education for nurses in the state of Iowa is found in Iowa Code chapters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9158C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481—615.2</w:t>
      </w:r>
      <w:r>
        <w:rPr>
          <w:rFonts w:ascii="Times New Roman" w:hAnsi="Times New Roman"/>
          <w:b/>
          <w:i w:val="false"/>
          <w:color w:val="000000"/>
          <w:sz w:val="22"/>
        </w:rPr>
        <w:t xml:space="preserve">(17A,152,152E,272C) </w:t>
      </w:r>
      <w:r>
        <w:rPr>
          <w:rFonts w:ascii="Times New Roman" w:hAnsi="Times New Roman"/>
          <w:b/>
          <w:i w:val="false"/>
          <w:color w:val="000000"/>
          <w:sz w:val="22"/>
        </w:rPr>
        <w:t xml:space="preserve">Responsibilities. </w:t>
      </w:r>
      <w:r>
        <w:rPr>
          <w:rFonts w:ascii="Times New Roman" w:hAnsi="Times New Roman"/>
          <w:b w:val="false"/>
          <w:i w:val="false"/>
          <w:color w:val="000000"/>
          <w:sz w:val="22"/>
        </w:rPr>
        <w:t>The responsibilities of the board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Licensing qualified applicants for the practice of nursing by examination, endorsement, renewal, and compact privilege pursuant to Iowa Code chapters </w:t>
      </w:r>
      <w:hyperlink r:id="rId1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Conducting investigations and imposing discipline for violations of statutes or rules related to the practice of nursing pursuant to Iowa Code chapters </w:t>
      </w:r>
      <w:hyperlink r:id="rId1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Approving nursing education programs pursuant to Iowa Code section </w:t>
      </w:r>
      <w:hyperlink r:id="rId18">
        <w:r>
          <w:rPr>
            <w:rStyle w:val="Hyperlink"/>
            <w:rFonts w:ascii="Times New Roman" w:hAnsi="Times New Roman"/>
            <w:b w:val="false"/>
            <w:i w:val="false"/>
            <w:color w:val="000000"/>
            <w:sz w:val="22"/>
          </w:rPr>
          <w:t>152.5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Collecting, analyzing, and disseminating nursing workforce data pursuant to Iowa Code section </w:t>
      </w:r>
      <w:hyperlink r:id="rId19">
        <w:r>
          <w:rPr>
            <w:rStyle w:val="Hyperlink"/>
            <w:rFonts w:ascii="Times New Roman" w:hAnsi="Times New Roman"/>
            <w:b w:val="false"/>
            <w:i w:val="false"/>
            <w:color w:val="000000"/>
            <w:sz w:val="22"/>
          </w:rPr>
          <w:t>152.4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Overseeing the nursing profession through policymaking and rulemaking.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9158C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481—615.3</w:t>
      </w:r>
      <w:r>
        <w:rPr>
          <w:rFonts w:ascii="Times New Roman" w:hAnsi="Times New Roman"/>
          <w:b/>
          <w:i w:val="false"/>
          <w:color w:val="000000"/>
          <w:sz w:val="22"/>
        </w:rPr>
        <w:t xml:space="preserve">(17A,272) </w:t>
      </w:r>
      <w:r>
        <w:rPr>
          <w:rFonts w:ascii="Times New Roman" w:hAnsi="Times New Roman"/>
          <w:b/>
          <w:i w:val="false"/>
          <w:color w:val="000000"/>
          <w:sz w:val="22"/>
        </w:rPr>
        <w:t xml:space="preserve">Submission of requests, obtaining information, and board office. </w:t>
      </w:r>
      <w:r>
        <w:rPr>
          <w:rFonts w:ascii="Times New Roman" w:hAnsi="Times New Roman"/>
          <w:b w:val="false"/>
          <w:i w:val="false"/>
          <w:color w:val="000000"/>
          <w:sz w:val="22"/>
        </w:rPr>
        <w:t>Members of the general public may obtain information or submit requests or complaints relative to the licensure of nursing, practice of nursing, nursing education, continuing education, or any other matters relating to the function and authority of this board. Correspondence should be submitted to the executive director at the board office. The board office is located at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9158C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481—615.4</w:t>
      </w:r>
      <w:r>
        <w:rPr>
          <w:rFonts w:ascii="Times New Roman" w:hAnsi="Times New Roman"/>
          <w:b/>
          <w:i w:val="false"/>
          <w:color w:val="000000"/>
          <w:sz w:val="22"/>
        </w:rPr>
        <w:t xml:space="preserve">(17A,21)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615.4(1)</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A majority of the members of the board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615.4(2)</w:t>
      </w:r>
      <w:r>
        <w:rPr>
          <w:rFonts w:ascii="Times New Roman" w:hAnsi="Times New Roman"/>
          <w:b w:val="false"/>
          <w:i w:val="false"/>
          <w:color w:val="000000"/>
          <w:sz w:val="22"/>
        </w:rPr>
        <w:t> </w:t>
      </w:r>
      <w:r>
        <w:rPr>
          <w:rFonts w:ascii="Times New Roman" w:hAnsi="Times New Roman"/>
          <w:b w:val="false"/>
          <w:i/>
          <w:color w:val="000000"/>
          <w:sz w:val="22"/>
        </w:rPr>
        <w:t xml:space="preserve">Meeting schedule and public notice. </w:t>
      </w:r>
      <w:r>
        <w:rPr>
          <w:rFonts w:ascii="Times New Roman" w:hAnsi="Times New Roman"/>
          <w:b w:val="false"/>
          <w:i w:val="false"/>
          <w:color w:val="000000"/>
          <w:sz w:val="22"/>
        </w:rPr>
        <w:t>The board will schedule and hold regular meetings. The date, time, and location of each meeting of the board will be made available to the public on the board’s website and upon request by contacting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615.4(3)</w:t>
      </w:r>
      <w:r>
        <w:rPr>
          <w:rFonts w:ascii="Times New Roman" w:hAnsi="Times New Roman"/>
          <w:b w:val="false"/>
          <w:i w:val="false"/>
          <w:color w:val="000000"/>
          <w:sz w:val="22"/>
        </w:rPr>
        <w:t> </w:t>
      </w:r>
      <w:r>
        <w:rPr>
          <w:rFonts w:ascii="Times New Roman" w:hAnsi="Times New Roman"/>
          <w:b w:val="false"/>
          <w:i/>
          <w:color w:val="000000"/>
          <w:sz w:val="22"/>
        </w:rPr>
        <w:t xml:space="preserve">Special meetings. </w:t>
      </w:r>
      <w:r>
        <w:rPr>
          <w:rFonts w:ascii="Times New Roman" w:hAnsi="Times New Roman"/>
          <w:b w:val="false"/>
          <w:i w:val="false"/>
          <w:color w:val="000000"/>
          <w:sz w:val="22"/>
        </w:rPr>
        <w:t>Special meetings of the board may be called by the chairperson or upon request of four board members to the chairperson or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615.4(4)</w:t>
      </w:r>
      <w:r>
        <w:rPr>
          <w:rFonts w:ascii="Times New Roman" w:hAnsi="Times New Roman"/>
          <w:b w:val="false"/>
          <w:i w:val="false"/>
          <w:color w:val="000000"/>
          <w:sz w:val="22"/>
        </w:rPr>
        <w:t> </w:t>
      </w:r>
      <w:r>
        <w:rPr>
          <w:rFonts w:ascii="Times New Roman" w:hAnsi="Times New Roman"/>
          <w:b w:val="false"/>
          <w:i/>
          <w:color w:val="000000"/>
          <w:sz w:val="22"/>
        </w:rPr>
        <w:t xml:space="preserve">Meeting materials. </w:t>
      </w:r>
      <w:r>
        <w:rPr>
          <w:rFonts w:ascii="Times New Roman" w:hAnsi="Times New Roman"/>
          <w:b w:val="false"/>
          <w:i w:val="false"/>
          <w:color w:val="000000"/>
          <w:sz w:val="22"/>
        </w:rPr>
        <w:t>Materials received at the board office at least three weeks prior to a scheduled board meeting may be placed on the agenda. Materials from emergency or unusual circumstances may be added to the agenda with the chairperson or executive director’s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615.4(5)</w:t>
      </w:r>
      <w:r>
        <w:rPr>
          <w:rFonts w:ascii="Times New Roman" w:hAnsi="Times New Roman"/>
          <w:b w:val="false"/>
          <w:i w:val="false"/>
          <w:color w:val="000000"/>
          <w:sz w:val="22"/>
        </w:rPr>
        <w:t> </w:t>
      </w:r>
      <w:r>
        <w:rPr>
          <w:rFonts w:ascii="Times New Roman" w:hAnsi="Times New Roman"/>
          <w:b w:val="false"/>
          <w:i/>
          <w:color w:val="000000"/>
          <w:sz w:val="22"/>
        </w:rPr>
        <w:t xml:space="preserve">Public observation and comment. </w:t>
      </w:r>
      <w:r>
        <w:rPr>
          <w:rFonts w:ascii="Times New Roman" w:hAnsi="Times New Roman"/>
          <w:b w:val="false"/>
          <w:i w:val="false"/>
          <w:color w:val="000000"/>
          <w:sz w:val="22"/>
        </w:rPr>
        <w:t>The board will provide a means for members of the public to observe and, when appropriate, offer public comment during board meetings unless the board votes to hold a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Anyone who has submitted materials for the agenda or whose presence has been requested by the board will be given the opportunity to address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time on the agenda for public comment, anyone may speak for up to two minutes per person. Requests to speak at a later time for two minutes per person when a particular topic comes before the board should be made at the time for public comment and will be granted at the discretion of the chairperson. No more than ten minutes will be allotted to public comment at any one time unless the chairperson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individual who has not asked to address the board during the time for public comment may be recognized by the chairperson upon request. Acknowledgment and an opportunity to speak will be at the discretion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9158C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481—615.5</w:t>
      </w:r>
      <w:r>
        <w:rPr>
          <w:rFonts w:ascii="Times New Roman" w:hAnsi="Times New Roman"/>
          <w:b/>
          <w:i w:val="false"/>
          <w:color w:val="000000"/>
          <w:sz w:val="22"/>
        </w:rPr>
        <w:t xml:space="preserve">(147,152,272C)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The board may issue or disseminate communications as a means to provide information to licensees and the general public related to the mission and responsibilities of the board. Board communications may include but are not limited to publishing updates on its website, issuing a newsletter, and other written, audio, or video methods of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9158C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481—615.6</w:t>
      </w:r>
      <w:r>
        <w:rPr>
          <w:rFonts w:ascii="Times New Roman" w:hAnsi="Times New Roman"/>
          <w:b/>
          <w:i w:val="false"/>
          <w:color w:val="000000"/>
          <w:sz w:val="22"/>
        </w:rPr>
        <w:t xml:space="preserve">(17A,272C) </w:t>
      </w:r>
      <w:r>
        <w:rPr>
          <w:rFonts w:ascii="Times New Roman" w:hAnsi="Times New Roman"/>
          <w:b/>
          <w:i w:val="false"/>
          <w:color w:val="000000"/>
          <w:sz w:val="22"/>
        </w:rPr>
        <w:t xml:space="preserve">Adoption of uniform and model rules. </w:t>
      </w:r>
      <w:r>
        <w:rPr>
          <w:rFonts w:ascii="Times New Roman" w:hAnsi="Times New Roman"/>
          <w:b w:val="false"/>
          <w:i w:val="false"/>
          <w:color w:val="000000"/>
          <w:sz w:val="22"/>
        </w:rPr>
        <w:t>The board hereby adopts by reference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615.6(1)</w:t>
      </w:r>
      <w:r>
        <w:rPr>
          <w:rFonts w:ascii="Times New Roman" w:hAnsi="Times New Roman"/>
          <w:b w:val="false"/>
          <w:i w:val="false"/>
          <w:color w:val="000000"/>
          <w:sz w:val="22"/>
        </w:rPr>
        <w:t> </w:t>
      </w:r>
      <w:r>
        <w:rPr>
          <w:rFonts w:ascii="Times New Roman" w:hAnsi="Times New Roman"/>
          <w:b w:val="false"/>
          <w:i w:val="false"/>
          <w:color w:val="000000"/>
          <w:sz w:val="22"/>
        </w:rPr>
        <w:t xml:space="preserve">Uniform Rules on Agency Procedure, </w:t>
      </w:r>
      <w:hyperlink r:id="rId20">
        <w:r>
          <w:rPr>
            <w:rStyle w:val="Hyperlink"/>
            <w:rFonts w:ascii="Times New Roman" w:hAnsi="Times New Roman"/>
            <w:b w:val="false"/>
            <w:i w:val="false"/>
            <w:color w:val="000000"/>
            <w:sz w:val="22"/>
          </w:rPr>
          <w:t>7—Chapters 2501</w:t>
        </w:r>
      </w:hyperlink>
      <w:r>
        <w:rPr>
          <w:rFonts w:ascii="Times New Roman" w:hAnsi="Times New Roman"/>
          <w:b w:val="false"/>
          <w:i w:val="false"/>
          <w:color w:val="000000"/>
          <w:sz w:val="22"/>
        </w:rPr>
        <w:t xml:space="preserve"> through </w:t>
      </w:r>
      <w:hyperlink r:id="rId21">
        <w:r>
          <w:rPr>
            <w:rStyle w:val="Hyperlink"/>
            <w:rFonts w:ascii="Times New Roman" w:hAnsi="Times New Roman"/>
            <w:b w:val="false"/>
            <w:i w:val="false"/>
            <w:color w:val="000000"/>
            <w:sz w:val="22"/>
          </w:rPr>
          <w:t>2505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615.6(2)</w:t>
      </w:r>
      <w:r>
        <w:rPr>
          <w:rFonts w:ascii="Times New Roman" w:hAnsi="Times New Roman"/>
          <w:b w:val="false"/>
          <w:i w:val="false"/>
          <w:color w:val="000000"/>
          <w:sz w:val="22"/>
        </w:rPr>
        <w:t> </w:t>
      </w:r>
      <w:r>
        <w:rPr>
          <w:rFonts w:ascii="Times New Roman" w:hAnsi="Times New Roman"/>
          <w:b w:val="false"/>
          <w:i w:val="false"/>
          <w:color w:val="000000"/>
          <w:sz w:val="22"/>
        </w:rPr>
        <w:t xml:space="preserve">Military service, veteran reciprocity, and spouses of active-duty service members, </w:t>
      </w:r>
      <w:hyperlink r:id="rId22">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Licensing and child support noncompliance, student loan repayment noncompliance, and nonpayment of state debt, </w:t>
      </w:r>
      <w:hyperlink r:id="rId23">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615.6(4)</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use of criminal convictions in eligibility determinations and initial licensing decisions, </w:t>
      </w:r>
      <w:hyperlink r:id="rId24">
        <w:r>
          <w:rPr>
            <w:rStyle w:val="Hyperlink"/>
            <w:rFonts w:ascii="Times New Roman" w:hAnsi="Times New Roman"/>
            <w:b w:val="false"/>
            <w:i w:val="false"/>
            <w:color w:val="000000"/>
            <w:sz w:val="22"/>
          </w:rPr>
          <w:t>481—Chapter 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615.6(5)</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licensee review committee, </w:t>
      </w:r>
      <w:hyperlink r:id="rId25">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615.6(6)</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contested cases before licensing boards, </w:t>
      </w:r>
      <w:hyperlink r:id="rId2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9158C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5/12/70]</w:t>
      </w:r>
    </w:p>
    <w:p>
      <w:pPr>
        <w:spacing w:before="0" w:after="0"/>
        <w:ind w:left="120"/>
        <w:jc w:val="center"/>
      </w:pPr>
      <w:r>
        <w:rPr>
          <w:rFonts w:ascii="Times New Roman" w:hAnsi="Times New Roman"/>
          <w:b w:val="false"/>
          <w:i w:val="false"/>
          <w:color w:val="000000"/>
          <w:sz w:val="21"/>
        </w:rPr>
        <w:t>[Filed 5/3/76, Notices 1/12/76, 3/22/76—published 5/17/76, effective 6/21/76]</w:t>
      </w:r>
    </w:p>
    <w:p>
      <w:pPr>
        <w:spacing w:before="0" w:after="0"/>
        <w:ind w:left="120"/>
        <w:jc w:val="center"/>
      </w:pPr>
      <w:r>
        <w:rPr>
          <w:rFonts w:ascii="Times New Roman" w:hAnsi="Times New Roman"/>
          <w:b w:val="false"/>
          <w:i w:val="false"/>
          <w:color w:val="000000"/>
          <w:sz w:val="21"/>
        </w:rPr>
        <w:t>[Filed 5/24/76, Notice 4/29/76—published 6/14/76, effective 7/19/76</w:t>
      </w:r>
    </w:p>
    <w:p>
      <w:pPr>
        <w:spacing w:before="0" w:after="0"/>
        <w:ind w:left="120"/>
        <w:jc w:val="center"/>
      </w:pPr>
      <w:r>
        <w:rPr>
          <w:rFonts w:ascii="Times New Roman" w:hAnsi="Times New Roman"/>
          <w:b w:val="false"/>
          <w:i w:val="false"/>
          <w:color w:val="000000"/>
          <w:sz w:val="21"/>
        </w:rPr>
        <w:t>(1.1(5) delayed 70 days)]</w:t>
      </w:r>
    </w:p>
    <w:p>
      <w:pPr>
        <w:spacing w:before="0" w:after="0"/>
        <w:ind w:left="120"/>
        <w:jc w:val="center"/>
      </w:pPr>
      <w:r>
        <w:rPr>
          <w:rFonts w:ascii="Times New Roman" w:hAnsi="Times New Roman"/>
          <w:b w:val="false"/>
          <w:i w:val="false"/>
          <w:color w:val="000000"/>
          <w:sz w:val="21"/>
        </w:rPr>
        <w:t>[Filed 7/21/76, Notice 6/14/76—published 8/9/76, effective 9/13/76]</w:t>
      </w:r>
    </w:p>
    <w:p>
      <w:pPr>
        <w:spacing w:before="0" w:after="0"/>
        <w:ind w:left="120"/>
        <w:jc w:val="center"/>
      </w:pPr>
      <w:r>
        <w:rPr>
          <w:rFonts w:ascii="Times New Roman" w:hAnsi="Times New Roman"/>
          <w:b w:val="false"/>
          <w:i w:val="false"/>
          <w:color w:val="000000"/>
          <w:sz w:val="21"/>
        </w:rPr>
        <w:t>[Filed 8/30/76, Notice 7/26/76—published 9/22/76, effective 10/27/76]</w:t>
      </w:r>
    </w:p>
    <w:p>
      <w:pPr>
        <w:spacing w:before="0" w:after="0"/>
        <w:ind w:left="120"/>
        <w:jc w:val="center"/>
      </w:pPr>
      <w:r>
        <w:rPr>
          <w:rFonts w:ascii="Times New Roman" w:hAnsi="Times New Roman"/>
          <w:b w:val="false"/>
          <w:i w:val="false"/>
          <w:color w:val="000000"/>
          <w:sz w:val="21"/>
        </w:rPr>
        <w:t>[Filed emergency 9/17/76—published 10/6/76, effective 9/22/76]</w:t>
      </w:r>
    </w:p>
    <w:p>
      <w:pPr>
        <w:spacing w:before="0" w:after="0"/>
        <w:ind w:left="120"/>
        <w:jc w:val="center"/>
      </w:pPr>
      <w:r>
        <w:rPr>
          <w:rFonts w:ascii="Times New Roman" w:hAnsi="Times New Roman"/>
          <w:b w:val="false"/>
          <w:i w:val="false"/>
          <w:color w:val="000000"/>
          <w:sz w:val="21"/>
        </w:rPr>
        <w:t>[Filed 10/3/77, Notice 7/13/77—published 10/19/77, effective 11/23/77]</w:t>
      </w:r>
    </w:p>
    <w:p>
      <w:pPr>
        <w:spacing w:before="0" w:after="0"/>
        <w:ind w:left="120"/>
        <w:jc w:val="center"/>
      </w:pPr>
      <w:r>
        <w:rPr>
          <w:rFonts w:ascii="Times New Roman" w:hAnsi="Times New Roman"/>
          <w:b w:val="false"/>
          <w:i w:val="false"/>
          <w:color w:val="000000"/>
          <w:sz w:val="21"/>
        </w:rPr>
        <w:t>[Filed 7/31/78, Notice 4/19/78—published 8/23/78, effective 9/27/78]</w:t>
      </w:r>
    </w:p>
    <w:p>
      <w:pPr>
        <w:spacing w:before="0" w:after="0"/>
        <w:ind w:left="120"/>
        <w:jc w:val="center"/>
      </w:pPr>
      <w:r>
        <w:rPr>
          <w:rFonts w:ascii="Times New Roman" w:hAnsi="Times New Roman"/>
          <w:b w:val="false"/>
          <w:i w:val="false"/>
          <w:color w:val="000000"/>
          <w:sz w:val="21"/>
        </w:rPr>
        <w:t>[Filed 2/3/84, Notice 11/9/83—published 2/29/84, effective 4/4/84]</w:t>
      </w:r>
    </w:p>
    <w:p>
      <w:pPr>
        <w:spacing w:before="0" w:after="0"/>
        <w:ind w:left="120"/>
        <w:jc w:val="center"/>
      </w:pPr>
      <w:r>
        <w:rPr>
          <w:rFonts w:ascii="Times New Roman" w:hAnsi="Times New Roman"/>
          <w:b w:val="false"/>
          <w:i w:val="false"/>
          <w:color w:val="000000"/>
          <w:sz w:val="21"/>
        </w:rPr>
        <w:t>[Filed 4/30/87, Notice 2/25/87—published 5/20/87, effective 6/24/87]</w:t>
      </w:r>
    </w:p>
    <w:p>
      <w:pPr>
        <w:spacing w:before="0" w:after="0"/>
        <w:ind w:left="120"/>
        <w:jc w:val="center"/>
      </w:pPr>
      <w:r>
        <w:rPr>
          <w:rFonts w:ascii="Times New Roman" w:hAnsi="Times New Roman"/>
          <w:b w:val="false"/>
          <w:i w:val="false"/>
          <w:color w:val="000000"/>
          <w:sz w:val="21"/>
        </w:rPr>
        <w:t>[Filed emergency 6/17/87—published 7/1/87, effective 6/17/87]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2/17/88, Notice 8/26/87—published 3/9/88, effective 4/13/88]</w:t>
      </w:r>
    </w:p>
    <w:p>
      <w:pPr>
        <w:spacing w:before="0" w:after="0"/>
        <w:ind w:left="120"/>
        <w:jc w:val="center"/>
      </w:pPr>
      <w:r>
        <w:rPr>
          <w:rFonts w:ascii="Times New Roman" w:hAnsi="Times New Roman"/>
          <w:b w:val="false"/>
          <w:i w:val="false"/>
          <w:color w:val="000000"/>
          <w:sz w:val="21"/>
        </w:rPr>
        <w:t>[Filed 8/4/88, Notice 6/15/88—published 8/24/88, effective 9/28/88]</w:t>
      </w:r>
    </w:p>
    <w:p>
      <w:pPr>
        <w:spacing w:before="0" w:after="0"/>
        <w:ind w:left="120"/>
        <w:jc w:val="center"/>
      </w:pPr>
      <w:r>
        <w:rPr>
          <w:rFonts w:ascii="Times New Roman" w:hAnsi="Times New Roman"/>
          <w:b w:val="false"/>
          <w:i w:val="false"/>
          <w:color w:val="000000"/>
          <w:sz w:val="21"/>
        </w:rPr>
        <w:t>[Filed 3/15/01, Notice 1/10/01—published 4/4/01, effective 5/9/01]</w:t>
      </w:r>
    </w:p>
    <w:p>
      <w:pPr>
        <w:spacing w:before="0" w:after="0"/>
        <w:ind w:left="120"/>
        <w:jc w:val="center"/>
      </w:pPr>
      <w:r>
        <w:rPr>
          <w:rFonts w:ascii="Times New Roman" w:hAnsi="Times New Roman"/>
          <w:b w:val="false"/>
          <w:i w:val="false"/>
          <w:color w:val="000000"/>
          <w:sz w:val="21"/>
        </w:rPr>
        <w:t>[Filed 9/12/03, Notice 6/25/03—published 10/1/03, effective 11/5/03]</w:t>
      </w:r>
    </w:p>
    <w:p>
      <w:pPr>
        <w:spacing w:before="0" w:after="0"/>
        <w:ind w:left="120"/>
        <w:jc w:val="center"/>
      </w:pPr>
      <w:r>
        <w:rPr>
          <w:rFonts w:ascii="Times New Roman" w:hAnsi="Times New Roman"/>
          <w:b w:val="false"/>
          <w:i w:val="false"/>
          <w:color w:val="000000"/>
          <w:sz w:val="21"/>
        </w:rPr>
        <w:t>[Filed ARC 0085C</w:t>
      </w:r>
      <w:r>
        <w:rPr>
          <w:rFonts w:ascii="Times New Roman" w:hAnsi="Times New Roman"/>
          <w:b w:val="false"/>
          <w:i w:val="false"/>
          <w:color w:val="000000"/>
          <w:sz w:val="21"/>
        </w:rPr>
        <w:t xml:space="preserve"> (Notice ARC 9866B, IAB 11/30/11)</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1541C</w:t>
      </w:r>
      <w:r>
        <w:rPr>
          <w:rFonts w:ascii="Times New Roman" w:hAnsi="Times New Roman"/>
          <w:b w:val="false"/>
          <w:i w:val="false"/>
          <w:color w:val="000000"/>
          <w:sz w:val="21"/>
        </w:rPr>
        <w:t xml:space="preserve"> (Notice ARC 1312C, IAB 2/5/14)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5285C</w:t>
      </w:r>
      <w:r>
        <w:rPr>
          <w:rFonts w:ascii="Times New Roman" w:hAnsi="Times New Roman"/>
          <w:b w:val="false"/>
          <w:i w:val="false"/>
          <w:color w:val="000000"/>
          <w:sz w:val="21"/>
        </w:rPr>
        <w:t xml:space="preserve"> (Notice ARC 5164C, IAB 9/9/20)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[Filed ARC 6196C</w:t>
      </w:r>
      <w:r>
        <w:rPr>
          <w:rFonts w:ascii="Times New Roman" w:hAnsi="Times New Roman"/>
          <w:b w:val="false"/>
          <w:i w:val="false"/>
          <w:color w:val="000000"/>
          <w:sz w:val="21"/>
        </w:rPr>
        <w:t xml:space="preserve"> (Notice ARC 6034C, IAB 11/17/21)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9158C</w:t>
      </w:r>
      <w:r>
        <w:rPr>
          <w:rFonts w:ascii="Times New Roman" w:hAnsi="Times New Roman"/>
          <w:b w:val="false"/>
          <w:i w:val="false"/>
          <w:color w:val="000000"/>
          <w:sz w:val="21"/>
        </w:rPr>
        <w:t xml:space="preserve"> (Notice ARC 8762C,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[Editorial change: IAC Supplement 8/5/26]</w:t>
      </w:r>
    </w:p>
    <w:sectPr>
      <w:footerReference r:id="rId3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14.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47A.pdf" Type="http://schemas.openxmlformats.org/officeDocument/2006/relationships/hyperlink" Id="rId7"/>
    <Relationship TargetMode="External" Target="https://www.legis.iowa.gov/docs/ico/chapter/152.pdf" Type="http://schemas.openxmlformats.org/officeDocument/2006/relationships/hyperlink" Id="rId8"/>
    <Relationship TargetMode="External" Target="https://www.legis.iowa.gov/docs/ico/chapter/152E.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co/chapter/147.pdf" Type="http://schemas.openxmlformats.org/officeDocument/2006/relationships/hyperlink" Id="rId11"/>
    <Relationship TargetMode="External" Target="https://www.legis.iowa.gov/docs/ico/chapter/152.pdf" Type="http://schemas.openxmlformats.org/officeDocument/2006/relationships/hyperlink" Id="rId12"/>
    <Relationship TargetMode="External" Target="https://www.legis.iowa.gov/docs/ico/chapter/152E.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147.pdf" Type="http://schemas.openxmlformats.org/officeDocument/2006/relationships/hyperlink" Id="rId15"/>
    <Relationship TargetMode="External" Target="https://www.legis.iowa.gov/docs/ico/chapter/152.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co/chapter/152.5.pdf" Type="http://schemas.openxmlformats.org/officeDocument/2006/relationships/hyperlink" Id="rId18"/>
    <Relationship TargetMode="External" Target="https://www.legis.iowa.gov/docs/ico/chapter/152.4.pdf" Type="http://schemas.openxmlformats.org/officeDocument/2006/relationships/hyperlink" Id="rId19"/>
    <Relationship TargetMode="External" Target="https://www.legis.iowa.gov/docs/iac/chapter/7.2501.pdf" Type="http://schemas.openxmlformats.org/officeDocument/2006/relationships/hyperlink" Id="rId20"/>
    <Relationship TargetMode="External" Target="https://www.legis.iowa.gov/docs/iac/chapter/7.2505.pdf" Type="http://schemas.openxmlformats.org/officeDocument/2006/relationships/hyperlink" Id="rId21"/>
    <Relationship TargetMode="External" Target="https://www.legis.iowa.gov/docs/iac/chapter/481.7.pdf" Type="http://schemas.openxmlformats.org/officeDocument/2006/relationships/hyperlink" Id="rId22"/>
    <Relationship TargetMode="External" Target="https://www.legis.iowa.gov/docs/iac/chapter/481.8.pdf" Type="http://schemas.openxmlformats.org/officeDocument/2006/relationships/hyperlink" Id="rId23"/>
    <Relationship TargetMode="External" Target="https://www.legis.iowa.gov/docs/iac/chapter/481.502.pdf" Type="http://schemas.openxmlformats.org/officeDocument/2006/relationships/hyperlink" Id="rId24"/>
    <Relationship TargetMode="External" Target="https://www.legis.iowa.gov/docs/iac/chapter/481.505.pdf" Type="http://schemas.openxmlformats.org/officeDocument/2006/relationships/hyperlink" Id="rId25"/>
    <Relationship TargetMode="External" Target="https://www.legis.iowa.gov/docs/iac/chapter/481.506.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147.pdf" Type="http://schemas.openxmlformats.org/officeDocument/2006/relationships/hyperlink" Id="rId28"/>
    <Relationship TargetMode="External" Target="https://www.legis.iowa.gov/docs/ico/chapter/152.pdf" Type="http://schemas.openxmlformats.org/officeDocument/2006/relationships/hyperlink" Id="rId29"/>
    <Relationship TargetMode="External" Target="https://www.legis.iowa.gov/docs/ico/chapter/152E.pdf" Type="http://schemas.openxmlformats.org/officeDocument/2006/relationships/hyperlink" Id="rId30"/>
    <Relationship TargetMode="External" Target="https://www.legis.iowa.gov/docs/ico/chapter/272C.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