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59</w:t>
      </w:r>
    </w:p>
    <w:p>
      <w:pPr>
        <w:spacing w:before="0" w:after="0"/>
        <w:ind w:left="120"/>
        <w:jc w:val="center"/>
      </w:pPr>
      <w:r>
        <w:rPr>
          <w:rFonts w:ascii="Times New Roman" w:hAnsi="Times New Roman"/>
          <w:b w:val="false"/>
          <w:i w:val="false"/>
          <w:color w:val="000000"/>
          <w:sz w:val="21"/>
        </w:rPr>
        <w:t>TUBERCULOSIS (TB) SCREENING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481—59.1</w:t>
      </w:r>
      <w:r>
        <w:rPr>
          <w:rFonts w:ascii="Times New Roman" w:hAnsi="Times New Roman"/>
          <w:b/>
          <w:i w:val="false"/>
          <w:color w:val="000000"/>
          <w:sz w:val="22"/>
        </w:rPr>
        <w:t xml:space="preserve">(135B,135C) </w:t>
      </w:r>
      <w:r>
        <w:rPr>
          <w:rFonts w:ascii="Times New Roman" w:hAnsi="Times New Roman"/>
          <w:b/>
          <w:i w:val="false"/>
          <w:color w:val="000000"/>
          <w:sz w:val="22"/>
        </w:rPr>
        <w:t xml:space="preserve">Purpose. </w:t>
      </w:r>
      <w:r>
        <w:rPr>
          <w:rFonts w:ascii="Times New Roman" w:hAnsi="Times New Roman"/>
          <w:b w:val="false"/>
          <w:i w:val="false"/>
          <w:color w:val="000000"/>
          <w:sz w:val="22"/>
        </w:rPr>
        <w:t>The intent of this chapter is to outline requirements and procedures to conduct tuberculosis screening for health care workers in health care facilities and hospitals and for residents of health care facilities regulated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3930C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481—59.2</w:t>
      </w:r>
      <w:r>
        <w:rPr>
          <w:rFonts w:ascii="Times New Roman" w:hAnsi="Times New Roman"/>
          <w:b/>
          <w:i w:val="false"/>
          <w:color w:val="000000"/>
          <w:sz w:val="22"/>
        </w:rPr>
        <w:t xml:space="preserve">(135B,135C)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“Bacille Calmette-Guérin vaccination”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“BCG vaccination” </w:t>
      </w:r>
      <w:r>
        <w:rPr>
          <w:rFonts w:ascii="Times New Roman" w:hAnsi="Times New Roman"/>
          <w:b w:val="false"/>
          <w:i w:val="false"/>
          <w:color w:val="000000"/>
          <w:sz w:val="22"/>
        </w:rPr>
        <w:t xml:space="preserve">means a vaccine for TB. BCG vaccination is used in many countries with a high prevalence of TB to prevent childhood tuberculosis meningitis and miliary disease. BCG vaccination is not generally recommended for use in the United States because of the low risk of infection with </w:t>
      </w:r>
      <w:r>
        <w:rPr>
          <w:rFonts w:ascii="Times New Roman" w:hAnsi="Times New Roman"/>
          <w:b w:val="false"/>
          <w:i/>
          <w:color w:val="000000"/>
          <w:sz w:val="22"/>
        </w:rPr>
        <w:t>Mycobacterium tuberculosis</w:t>
      </w:r>
      <w:r>
        <w:rPr>
          <w:rFonts w:ascii="Times New Roman" w:hAnsi="Times New Roman"/>
          <w:b w:val="false"/>
          <w:i w:val="false"/>
          <w:color w:val="000000"/>
          <w:sz w:val="22"/>
        </w:rPr>
        <w:t>, the variable effectiveness of the vaccine against adult pulmonary TB, and the vaccine’s potential interference with tuberculin skin test reactivity.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“Baseline TB screening” </w:t>
      </w:r>
      <w:r>
        <w:rPr>
          <w:rFonts w:ascii="Times New Roman" w:hAnsi="Times New Roman"/>
          <w:b w:val="false"/>
          <w:i w:val="false"/>
          <w:color w:val="000000"/>
          <w:sz w:val="22"/>
        </w:rPr>
        <w:t xml:space="preserve">means the screening of health care workers (HCWs) of health care facilities or hospitals at the beginning of employment in a facility or hospital and of residents of health care facilities upon admission to a facility for latent tuberculosis infection (LTBI) and TB disease. Baseline TB screening includes a symptom screen for all HCWs and residents, and two-step tuberculin skin test (two-step TST) or single interferon-gamma release assay (IGRA)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for those persons with previous negative test results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“Baseline TST”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“baseline IGRA” </w:t>
      </w:r>
      <w:r>
        <w:rPr>
          <w:rFonts w:ascii="Times New Roman" w:hAnsi="Times New Roman"/>
          <w:b w:val="false"/>
          <w:i w:val="false"/>
          <w:color w:val="000000"/>
          <w:sz w:val="22"/>
        </w:rPr>
        <w:t>means the two-step TST or IGRA, respectively, which is administered at the beginning of employment to newly hired HCWs or upon admission of residents to health care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“Boosting” </w:t>
      </w:r>
      <w:r>
        <w:rPr>
          <w:rFonts w:ascii="Times New Roman" w:hAnsi="Times New Roman"/>
          <w:b w:val="false"/>
          <w:i w:val="false"/>
          <w:color w:val="000000"/>
          <w:sz w:val="22"/>
        </w:rPr>
        <w:t xml:space="preserve">means a phenomenon in which a person has a negative TST (i.e., false-negative) result years after infection with </w:t>
      </w:r>
      <w:r>
        <w:rPr>
          <w:rFonts w:ascii="Times New Roman" w:hAnsi="Times New Roman"/>
          <w:b w:val="false"/>
          <w:i/>
          <w:color w:val="000000"/>
          <w:sz w:val="22"/>
        </w:rPr>
        <w:t>M. tuberculosis</w:t>
      </w:r>
      <w:r>
        <w:rPr>
          <w:rFonts w:ascii="Times New Roman" w:hAnsi="Times New Roman"/>
          <w:b w:val="false"/>
          <w:i w:val="false"/>
          <w:color w:val="000000"/>
          <w:sz w:val="22"/>
        </w:rPr>
        <w:t xml:space="preserve"> and then a positive subsequent TST result. The positive TST result is caused by a boosted immune response of previous sensitivity rather than by a new infection (false-positive TST conversion). Two-step testing reduces the likelihood of mistaking a boosted reaction for a new 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“employed” </w:t>
      </w:r>
      <w:r>
        <w:rPr>
          <w:rFonts w:ascii="Times New Roman" w:hAnsi="Times New Roman"/>
          <w:b w:val="false"/>
          <w:i w:val="false"/>
          <w:color w:val="000000"/>
          <w:sz w:val="22"/>
        </w:rPr>
        <w:t>means to be hired or retained for paid or unpaid work in a facility or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“Extrapulmonary TB” </w:t>
      </w:r>
      <w:r>
        <w:rPr>
          <w:rFonts w:ascii="Times New Roman" w:hAnsi="Times New Roman"/>
          <w:b w:val="false"/>
          <w:i w:val="false"/>
          <w:color w:val="000000"/>
          <w:sz w:val="22"/>
        </w:rPr>
        <w:t>means TB disease in any part of the body other than the lungs (e.g., kidney, spine, or lymph nodes).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facility”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“facility” </w:t>
      </w:r>
      <w:r>
        <w:rPr>
          <w:rFonts w:ascii="Times New Roman" w:hAnsi="Times New Roman"/>
          <w:b w:val="false"/>
          <w:i w:val="false"/>
          <w:color w:val="000000"/>
          <w:sz w:val="22"/>
        </w:rPr>
        <w:t xml:space="preserve">means a health care facility as defined in Iowa Code section </w:t>
      </w:r>
      <w:hyperlink r:id="rId5">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 xml:space="preserve"> or a long-term care service of a hospital as defined in rule </w:t>
      </w:r>
      <w:hyperlink r:id="rId6">
        <w:r>
          <w:rPr>
            <w:rStyle w:val="Hyperlink"/>
            <w:rFonts w:ascii="Times New Roman" w:hAnsi="Times New Roman"/>
            <w:b w:val="false"/>
            <w:i w:val="false"/>
            <w:color w:val="000000"/>
            <w:sz w:val="22"/>
          </w:rPr>
          <w:t>481—51.38</w:t>
        </w:r>
      </w:hyperlink>
      <w:r>
        <w:rPr>
          <w:rFonts w:ascii="Times New Roman" w:hAnsi="Times New Roman"/>
          <w:b w:val="false"/>
          <w:i w:val="false"/>
          <w:color w:val="000000"/>
          <w:sz w:val="22"/>
        </w:rPr>
        <w:t>(135B).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worker”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“HCW” </w:t>
      </w:r>
      <w:r>
        <w:rPr>
          <w:rFonts w:ascii="Times New Roman" w:hAnsi="Times New Roman"/>
          <w:b w:val="false"/>
          <w:i w:val="false"/>
          <w:color w:val="000000"/>
          <w:sz w:val="22"/>
        </w:rPr>
        <w:t>means any paid or unpaid person (including health care students) working in a health care facility or hospital, including any person who is paid either by the health care facility or hospital or paid by any other entity (i.e., temporary agency, private duty, Medicaid/Medicare or independent contractors), or any volunteer who volunteers in a health care facility or hospital on a consistent and regularly scheduled basis for five or more hours per week. Specifically excluded from the definition of “health care worker” are individuals such as visitors, building contractors, repair workers or others who are in the facility or hospital for a very limited purpose and are not in the facility or hospital on a regular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“Hospital” </w:t>
      </w:r>
      <w:r>
        <w:rPr>
          <w:rFonts w:ascii="Times New Roman" w:hAnsi="Times New Roman"/>
          <w:b w:val="false"/>
          <w:i w:val="false"/>
          <w:color w:val="000000"/>
          <w:sz w:val="22"/>
        </w:rPr>
        <w:t xml:space="preserve">means a hospital as defined in Iowa Code section </w:t>
      </w:r>
      <w:hyperlink r:id="rId7">
        <w:r>
          <w:rPr>
            <w:rStyle w:val="Hyperlink"/>
            <w:rFonts w:ascii="Times New Roman" w:hAnsi="Times New Roman"/>
            <w:b w:val="false"/>
            <w:i w:val="false"/>
            <w:color w:val="000000"/>
            <w:sz w:val="22"/>
          </w:rPr>
          <w:t>135B.1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“Interferon-gamma release assay”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“IGRA” </w:t>
      </w:r>
      <w:r>
        <w:rPr>
          <w:rFonts w:ascii="Times New Roman" w:hAnsi="Times New Roman"/>
          <w:b w:val="false"/>
          <w:i w:val="false"/>
          <w:color w:val="000000"/>
          <w:sz w:val="22"/>
        </w:rPr>
        <w:t xml:space="preserve">means a whole-blood test that can aid in diagnosing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“Laryngeal TB” </w:t>
      </w:r>
      <w:r>
        <w:rPr>
          <w:rFonts w:ascii="Times New Roman" w:hAnsi="Times New Roman"/>
          <w:b w:val="false"/>
          <w:i w:val="false"/>
          <w:color w:val="000000"/>
          <w:sz w:val="22"/>
        </w:rPr>
        <w:t>means a form of TB disease that involves the larynx and may be highly infectious.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“Latent TB infection”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“LTBI” </w:t>
      </w:r>
      <w:r>
        <w:rPr>
          <w:rFonts w:ascii="Times New Roman" w:hAnsi="Times New Roman"/>
          <w:b w:val="false"/>
          <w:i w:val="false"/>
          <w:color w:val="000000"/>
          <w:sz w:val="22"/>
        </w:rPr>
        <w:t xml:space="preserve">means infection with </w:t>
      </w:r>
      <w:r>
        <w:rPr>
          <w:rFonts w:ascii="Times New Roman" w:hAnsi="Times New Roman"/>
          <w:b w:val="false"/>
          <w:i/>
          <w:color w:val="000000"/>
          <w:sz w:val="22"/>
        </w:rPr>
        <w:t>M. tuberculosis</w:t>
      </w:r>
      <w:r>
        <w:rPr>
          <w:rFonts w:ascii="Times New Roman" w:hAnsi="Times New Roman"/>
          <w:b w:val="false"/>
          <w:i w:val="false"/>
          <w:color w:val="000000"/>
          <w:sz w:val="22"/>
        </w:rPr>
        <w:t xml:space="preserve"> without symptoms or signs of disease having manifested.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“Mantoux method” </w:t>
      </w:r>
      <w:r>
        <w:rPr>
          <w:rFonts w:ascii="Times New Roman" w:hAnsi="Times New Roman"/>
          <w:b w:val="false"/>
          <w:i w:val="false"/>
          <w:color w:val="000000"/>
          <w:sz w:val="22"/>
        </w:rPr>
        <w:t>means a skin test performed by intradermally injecting 0.1 mL of purified protein derivative (PPD) tuberculin solution into the volar or dorsal surface of the forearm.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“Patient” </w:t>
      </w:r>
      <w:r>
        <w:rPr>
          <w:rFonts w:ascii="Times New Roman" w:hAnsi="Times New Roman"/>
          <w:b w:val="false"/>
          <w:i w:val="false"/>
          <w:color w:val="000000"/>
          <w:sz w:val="22"/>
        </w:rPr>
        <w:t>means a person admitted to a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“Pulmonary TB” </w:t>
      </w:r>
      <w:r>
        <w:rPr>
          <w:rFonts w:ascii="Times New Roman" w:hAnsi="Times New Roman"/>
          <w:b w:val="false"/>
          <w:i w:val="false"/>
          <w:color w:val="000000"/>
          <w:sz w:val="22"/>
        </w:rPr>
        <w:t>means TB disease that occurs in the lung parenchyma, usually producing a cough that lasts greater than three weeks. Pulmonary TB is usually infectious.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“Purified protein derivative tuberculin”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“PPD tuberculin” </w:t>
      </w:r>
      <w:r>
        <w:rPr>
          <w:rFonts w:ascii="Times New Roman" w:hAnsi="Times New Roman"/>
          <w:b w:val="false"/>
          <w:i w:val="false"/>
          <w:color w:val="000000"/>
          <w:sz w:val="22"/>
        </w:rPr>
        <w:t xml:space="preserve">means a material used in diagnostic tests for detecting infection with </w:t>
      </w:r>
      <w:r>
        <w:rPr>
          <w:rFonts w:ascii="Times New Roman" w:hAnsi="Times New Roman"/>
          <w:b w:val="false"/>
          <w:i/>
          <w:color w:val="000000"/>
          <w:sz w:val="22"/>
        </w:rPr>
        <w:t>M. tuberculosis</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 </w:t>
      </w:r>
      <w:r>
        <w:rPr>
          <w:rFonts w:ascii="Times New Roman" w:hAnsi="Times New Roman"/>
          <w:b w:val="false"/>
          <w:i w:val="false"/>
          <w:color w:val="000000"/>
          <w:sz w:val="22"/>
        </w:rPr>
        <w:t xml:space="preserve">means a person admitted to a health care facility or a long-term care service of a hospital as defined in rule </w:t>
      </w:r>
      <w:hyperlink r:id="rId8">
        <w:r>
          <w:rPr>
            <w:rStyle w:val="Hyperlink"/>
            <w:rFonts w:ascii="Times New Roman" w:hAnsi="Times New Roman"/>
            <w:b w:val="false"/>
            <w:i w:val="false"/>
            <w:color w:val="000000"/>
            <w:sz w:val="22"/>
          </w:rPr>
          <w:t>481—51.38</w:t>
        </w:r>
      </w:hyperlink>
      <w:r>
        <w:rPr>
          <w:rFonts w:ascii="Times New Roman" w:hAnsi="Times New Roman"/>
          <w:b w:val="false"/>
          <w:i w:val="false"/>
          <w:color w:val="000000"/>
          <w:sz w:val="22"/>
        </w:rPr>
        <w:t>(135B). For purposes of this chapter, “resident” does not include a patient admitted to a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“Risk classification” </w:t>
      </w:r>
      <w:r>
        <w:rPr>
          <w:rFonts w:ascii="Times New Roman" w:hAnsi="Times New Roman"/>
          <w:b w:val="false"/>
          <w:i w:val="false"/>
          <w:color w:val="000000"/>
          <w:sz w:val="22"/>
        </w:rPr>
        <w:t>means the category that the infection control team, or designated other staff, determines is appropriate for the facility or hospital as a result of the TB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“Serial TB screening” </w:t>
      </w:r>
      <w:r>
        <w:rPr>
          <w:rFonts w:ascii="Times New Roman" w:hAnsi="Times New Roman"/>
          <w:b w:val="false"/>
          <w:i w:val="false"/>
          <w:color w:val="000000"/>
          <w:sz w:val="22"/>
        </w:rPr>
        <w:t xml:space="preserve">means TB screening performed at regular intervals following baseline TB screening. Serial TB screening, also called annual or ongoing TB testing, consists of two components: (1) assessing for current symptoms of active TB disease, and (2) testing for the presence of infection with </w:t>
      </w:r>
      <w:r>
        <w:rPr>
          <w:rFonts w:ascii="Times New Roman" w:hAnsi="Times New Roman"/>
          <w:b w:val="false"/>
          <w:i/>
          <w:color w:val="000000"/>
          <w:sz w:val="22"/>
        </w:rPr>
        <w:t>M. tuberculosis</w:t>
      </w:r>
      <w:r>
        <w:rPr>
          <w:rFonts w:ascii="Times New Roman" w:hAnsi="Times New Roman"/>
          <w:b w:val="false"/>
          <w:i w:val="false"/>
          <w:color w:val="000000"/>
          <w:sz w:val="22"/>
        </w:rPr>
        <w:t xml:space="preserve"> by administering either a TST or single IGRA.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“Symptom screen” </w:t>
      </w:r>
      <w:r>
        <w:rPr>
          <w:rFonts w:ascii="Times New Roman" w:hAnsi="Times New Roman"/>
          <w:b w:val="false"/>
          <w:i w:val="false"/>
          <w:color w:val="000000"/>
          <w:sz w:val="22"/>
        </w:rPr>
        <w:t>means a procedure used during a clinical evaluation in which persons are asked if they have experienced any departure from normal in function, appearance, or sensation related to TB disease (e.g., cough).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“TB patient” </w:t>
      </w:r>
      <w:r>
        <w:rPr>
          <w:rFonts w:ascii="Times New Roman" w:hAnsi="Times New Roman"/>
          <w:b w:val="false"/>
          <w:i w:val="false"/>
          <w:color w:val="000000"/>
          <w:sz w:val="22"/>
        </w:rPr>
        <w:t>means a person who had undiagnosed infectious pulmonary or laryngeal TB while in a health care facility or hospital during the preceding year. “TB patient” does not include persons with LTBI (treated or untreated), extrapulmonary TB disease, pulmonary TB, or laryngeal TB who have met criteria for noninfectiousness.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“TB risk assessment” </w:t>
      </w:r>
      <w:r>
        <w:rPr>
          <w:rFonts w:ascii="Times New Roman" w:hAnsi="Times New Roman"/>
          <w:b w:val="false"/>
          <w:i w:val="false"/>
          <w:color w:val="000000"/>
          <w:sz w:val="22"/>
        </w:rPr>
        <w:t xml:space="preserve">means an initial and ongoing annual evaluation of the risk for transmission of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 a particular health care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“TB screening” </w:t>
      </w:r>
      <w:r>
        <w:rPr>
          <w:rFonts w:ascii="Times New Roman" w:hAnsi="Times New Roman"/>
          <w:b w:val="false"/>
          <w:i w:val="false"/>
          <w:color w:val="000000"/>
          <w:sz w:val="22"/>
        </w:rPr>
        <w:t>means an administrative control measure in which evaluation for LTBI and TB disease is performed through baseline and serial screening of HCWs in hospitals and health care facilities and residents of health care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“Transfer” </w:t>
      </w:r>
      <w:r>
        <w:rPr>
          <w:rFonts w:ascii="Times New Roman" w:hAnsi="Times New Roman"/>
          <w:b w:val="false"/>
          <w:i w:val="false"/>
          <w:color w:val="000000"/>
          <w:sz w:val="22"/>
        </w:rPr>
        <w:t>means an HCW changes employment from one health care facility or hospital to another health care facility or hospital where the time frame between employment does not exceed 90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“Treatment for LTBI” </w:t>
      </w:r>
      <w:r>
        <w:rPr>
          <w:rFonts w:ascii="Times New Roman" w:hAnsi="Times New Roman"/>
          <w:b w:val="false"/>
          <w:i w:val="false"/>
          <w:color w:val="000000"/>
          <w:sz w:val="22"/>
        </w:rPr>
        <w:t xml:space="preserve">means treatment that prevents the progression of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into TB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“Tuberculin skin test”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“TST” </w:t>
      </w:r>
      <w:r>
        <w:rPr>
          <w:rFonts w:ascii="Times New Roman" w:hAnsi="Times New Roman"/>
          <w:b w:val="false"/>
          <w:i w:val="false"/>
          <w:color w:val="000000"/>
          <w:sz w:val="22"/>
        </w:rPr>
        <w:t xml:space="preserve">means a diagnostic aid for finding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The Mantoux method is the recommended method to be used for TST.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“Tuberculosis”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“TB” </w:t>
      </w:r>
      <w:r>
        <w:rPr>
          <w:rFonts w:ascii="Times New Roman" w:hAnsi="Times New Roman"/>
          <w:b w:val="false"/>
          <w:i w:val="false"/>
          <w:color w:val="000000"/>
          <w:sz w:val="22"/>
        </w:rPr>
        <w:t xml:space="preserve">means the namesake member organism of </w:t>
      </w:r>
      <w:r>
        <w:rPr>
          <w:rFonts w:ascii="Times New Roman" w:hAnsi="Times New Roman"/>
          <w:b w:val="false"/>
          <w:i/>
          <w:color w:val="000000"/>
          <w:sz w:val="22"/>
        </w:rPr>
        <w:t>M. tuberculosis</w:t>
      </w:r>
      <w:r>
        <w:rPr>
          <w:rFonts w:ascii="Times New Roman" w:hAnsi="Times New Roman"/>
          <w:b w:val="false"/>
          <w:i w:val="false"/>
          <w:color w:val="000000"/>
          <w:sz w:val="22"/>
        </w:rPr>
        <w:t xml:space="preserve"> complex and the most common causative infectious agent of TB disease in humans. In certain instances, the species name refers to the entire </w:t>
      </w:r>
      <w:r>
        <w:rPr>
          <w:rFonts w:ascii="Times New Roman" w:hAnsi="Times New Roman"/>
          <w:b w:val="false"/>
          <w:i/>
          <w:color w:val="000000"/>
          <w:sz w:val="22"/>
        </w:rPr>
        <w:t>M. tuberculosis</w:t>
      </w:r>
      <w:r>
        <w:rPr>
          <w:rFonts w:ascii="Times New Roman" w:hAnsi="Times New Roman"/>
          <w:b w:val="false"/>
          <w:i w:val="false"/>
          <w:color w:val="000000"/>
          <w:sz w:val="22"/>
        </w:rPr>
        <w:t xml:space="preserve"> complex, which includes </w:t>
      </w:r>
      <w:r>
        <w:rPr>
          <w:rFonts w:ascii="Times New Roman" w:hAnsi="Times New Roman"/>
          <w:b w:val="false"/>
          <w:i/>
          <w:color w:val="000000"/>
          <w:sz w:val="22"/>
        </w:rPr>
        <w:t>M. bovis</w:t>
      </w:r>
      <w:r>
        <w:rPr>
          <w:rFonts w:ascii="Times New Roman" w:hAnsi="Times New Roman"/>
          <w:b w:val="false"/>
          <w:i w:val="false"/>
          <w:color w:val="000000"/>
          <w:sz w:val="22"/>
        </w:rPr>
        <w:t xml:space="preserve">, </w:t>
      </w:r>
      <w:r>
        <w:rPr>
          <w:rFonts w:ascii="Times New Roman" w:hAnsi="Times New Roman"/>
          <w:b w:val="false"/>
          <w:i/>
          <w:color w:val="000000"/>
          <w:sz w:val="22"/>
        </w:rPr>
        <w:t>M. african</w:t>
      </w:r>
      <w:r>
        <w:rPr>
          <w:rFonts w:ascii="Times New Roman" w:hAnsi="Times New Roman"/>
          <w:b w:val="false"/>
          <w:i w:val="false"/>
          <w:color w:val="000000"/>
          <w:sz w:val="22"/>
        </w:rPr>
        <w:t xml:space="preserve">, </w:t>
      </w:r>
      <w:r>
        <w:rPr>
          <w:rFonts w:ascii="Times New Roman" w:hAnsi="Times New Roman"/>
          <w:b w:val="false"/>
          <w:i/>
          <w:color w:val="000000"/>
          <w:sz w:val="22"/>
        </w:rPr>
        <w:t>M. microti</w:t>
      </w:r>
      <w:r>
        <w:rPr>
          <w:rFonts w:ascii="Times New Roman" w:hAnsi="Times New Roman"/>
          <w:b w:val="false"/>
          <w:i w:val="false"/>
          <w:color w:val="000000"/>
          <w:sz w:val="22"/>
        </w:rPr>
        <w:t xml:space="preserve">, </w:t>
      </w:r>
      <w:r>
        <w:rPr>
          <w:rFonts w:ascii="Times New Roman" w:hAnsi="Times New Roman"/>
          <w:b w:val="false"/>
          <w:i/>
          <w:color w:val="000000"/>
          <w:sz w:val="22"/>
        </w:rPr>
        <w:t>M. canetti</w:t>
      </w:r>
      <w:r>
        <w:rPr>
          <w:rFonts w:ascii="Times New Roman" w:hAnsi="Times New Roman"/>
          <w:b w:val="false"/>
          <w:i w:val="false"/>
          <w:color w:val="000000"/>
          <w:sz w:val="22"/>
        </w:rPr>
        <w:t xml:space="preserve">, </w:t>
      </w:r>
      <w:r>
        <w:rPr>
          <w:rFonts w:ascii="Times New Roman" w:hAnsi="Times New Roman"/>
          <w:b w:val="false"/>
          <w:i/>
          <w:color w:val="000000"/>
          <w:sz w:val="22"/>
        </w:rPr>
        <w:t>M. caprae</w:t>
      </w:r>
      <w:r>
        <w:rPr>
          <w:rFonts w:ascii="Times New Roman" w:hAnsi="Times New Roman"/>
          <w:b w:val="false"/>
          <w:i w:val="false"/>
          <w:color w:val="000000"/>
          <w:sz w:val="22"/>
        </w:rPr>
        <w:t xml:space="preserve">, and </w:t>
      </w:r>
      <w:r>
        <w:rPr>
          <w:rFonts w:ascii="Times New Roman" w:hAnsi="Times New Roman"/>
          <w:b w:val="false"/>
          <w:i/>
          <w:color w:val="000000"/>
          <w:sz w:val="22"/>
        </w:rPr>
        <w:t>M. pinnipedii</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“Tuberculosis disease”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“TB disease” </w:t>
      </w:r>
      <w:r>
        <w:rPr>
          <w:rFonts w:ascii="Times New Roman" w:hAnsi="Times New Roman"/>
          <w:b w:val="false"/>
          <w:i w:val="false"/>
          <w:color w:val="000000"/>
          <w:sz w:val="22"/>
        </w:rPr>
        <w:t xml:space="preserve">means a condition caused by infection with a member of the </w:t>
      </w:r>
      <w:r>
        <w:rPr>
          <w:rFonts w:ascii="Times New Roman" w:hAnsi="Times New Roman"/>
          <w:b w:val="false"/>
          <w:i/>
          <w:color w:val="000000"/>
          <w:sz w:val="22"/>
        </w:rPr>
        <w:t>M. tuberculosis</w:t>
      </w:r>
      <w:r>
        <w:rPr>
          <w:rFonts w:ascii="Times New Roman" w:hAnsi="Times New Roman"/>
          <w:b w:val="false"/>
          <w:i w:val="false"/>
          <w:color w:val="000000"/>
          <w:sz w:val="22"/>
        </w:rPr>
        <w:t xml:space="preserve"> complex that has progressed to causing clinical (manifesting signs or symptoms) or subclinical (early stage of disease in which signs or symptoms are not present, but other indications of disease activity are present)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“Two-step tuberculin skin test”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“two-step TST” </w:t>
      </w:r>
      <w:r>
        <w:rPr>
          <w:rFonts w:ascii="Times New Roman" w:hAnsi="Times New Roman"/>
          <w:b w:val="false"/>
          <w:i w:val="false"/>
          <w:color w:val="000000"/>
          <w:sz w:val="22"/>
        </w:rPr>
        <w:t>means the procedure used for the baseline skin testing of persons who may receive serial TSTs.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3930C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481—59.3</w:t>
      </w:r>
      <w:r>
        <w:rPr>
          <w:rFonts w:ascii="Times New Roman" w:hAnsi="Times New Roman"/>
          <w:b/>
          <w:i w:val="false"/>
          <w:color w:val="000000"/>
          <w:sz w:val="22"/>
        </w:rPr>
        <w:t xml:space="preserve">(135B,135C) </w:t>
      </w:r>
      <w:r>
        <w:rPr>
          <w:rFonts w:ascii="Times New Roman" w:hAnsi="Times New Roman"/>
          <w:b/>
          <w:i w:val="false"/>
          <w:color w:val="000000"/>
          <w:sz w:val="22"/>
        </w:rPr>
        <w:t xml:space="preserve">TB risk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59.3(1)</w:t>
      </w:r>
      <w:r>
        <w:rPr>
          <w:rFonts w:ascii="Times New Roman" w:hAnsi="Times New Roman"/>
          <w:b w:val="false"/>
          <w:i w:val="false"/>
          <w:color w:val="000000"/>
          <w:sz w:val="22"/>
        </w:rPr>
        <w:t> </w:t>
      </w:r>
      <w:r>
        <w:rPr>
          <w:rFonts w:ascii="Times New Roman" w:hAnsi="Times New Roman"/>
          <w:b w:val="false"/>
          <w:i w:val="false"/>
          <w:color w:val="000000"/>
          <w:sz w:val="22"/>
        </w:rPr>
        <w:t xml:space="preserve">Annually, a health care facility or hospital shall conduct a TB risk assessment to evaluate the risk for transmission of </w:t>
      </w:r>
      <w:r>
        <w:rPr>
          <w:rFonts w:ascii="Times New Roman" w:hAnsi="Times New Roman"/>
          <w:b w:val="false"/>
          <w:i/>
          <w:color w:val="000000"/>
          <w:sz w:val="22"/>
        </w:rPr>
        <w:t>M. tuberculosis</w:t>
      </w:r>
      <w:r>
        <w:rPr>
          <w:rFonts w:ascii="Times New Roman" w:hAnsi="Times New Roman"/>
          <w:b w:val="false"/>
          <w:i w:val="false"/>
          <w:color w:val="000000"/>
          <w:sz w:val="22"/>
        </w:rPr>
        <w:t>, regardless of whether a person with suspected or confirmed TB disease is expected to be encountered in the facility or hospital. The TB risk assessment shall be utilized to determine the types of administrative, environmental, and respiratory protection controls needed and serves as an ongoing evaluation tool of the quality of TB infection control and for the identification of needed improvements in infection control measures.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59.3(2)</w:t>
      </w:r>
      <w:r>
        <w:rPr>
          <w:rFonts w:ascii="Times New Roman" w:hAnsi="Times New Roman"/>
          <w:b w:val="false"/>
          <w:i w:val="false"/>
          <w:color w:val="000000"/>
          <w:sz w:val="22"/>
        </w:rPr>
        <w:t> </w:t>
      </w:r>
      <w:r>
        <w:rPr>
          <w:rFonts w:ascii="Times New Roman" w:hAnsi="Times New Roman"/>
          <w:b w:val="false"/>
          <w:i w:val="false"/>
          <w:color w:val="000000"/>
          <w:sz w:val="22"/>
        </w:rPr>
        <w:t>The TB risk assessment shall include the number of persons with infectious TB encountered in the facility or hospital that resulted in the facility’s or hospital’s conducting a contact investigation of exposed HCWs or patients during the previous 12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59.3(3)</w:t>
      </w:r>
      <w:r>
        <w:rPr>
          <w:rFonts w:ascii="Times New Roman" w:hAnsi="Times New Roman"/>
          <w:b w:val="false"/>
          <w:i w:val="false"/>
          <w:color w:val="000000"/>
          <w:sz w:val="22"/>
        </w:rPr>
        <w:t> </w:t>
      </w:r>
      <w:r>
        <w:rPr>
          <w:rFonts w:ascii="Times New Roman" w:hAnsi="Times New Roman"/>
          <w:b w:val="false"/>
          <w:i w:val="false"/>
          <w:color w:val="000000"/>
          <w:sz w:val="22"/>
        </w:rPr>
        <w:t>TB cases include persons who had undiagnosed infectious pulmonary or laryngeal TB while in the facility or hospital during the preceding year. This does not include persons with LTBI (treated or untreated), persons with extrapulmonary TB disease, or persons with pulmonary and laryngeal TB who have met criteria for noninfectiousness.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3930C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481—59.4</w:t>
      </w:r>
      <w:r>
        <w:rPr>
          <w:rFonts w:ascii="Times New Roman" w:hAnsi="Times New Roman"/>
          <w:b/>
          <w:i w:val="false"/>
          <w:color w:val="000000"/>
          <w:sz w:val="22"/>
        </w:rPr>
        <w:t xml:space="preserve">(135B,135C) </w:t>
      </w:r>
      <w:r>
        <w:rPr>
          <w:rFonts w:ascii="Times New Roman" w:hAnsi="Times New Roman"/>
          <w:b/>
          <w:i w:val="false"/>
          <w:color w:val="000000"/>
          <w:sz w:val="22"/>
        </w:rPr>
        <w:t xml:space="preserve">Health care facility or hospital risk classification. </w:t>
      </w:r>
      <w:r>
        <w:rPr>
          <w:rFonts w:ascii="Times New Roman" w:hAnsi="Times New Roman"/>
          <w:b w:val="false"/>
          <w:i w:val="false"/>
          <w:color w:val="000000"/>
          <w:sz w:val="22"/>
        </w:rPr>
        <w:t xml:space="preserve">The infection control team or designated staff in a health care facility or hospital is responsible for determining the type of risk classification. The facility’s or hospital’s risk classification is used to determine frequency of serial TB screening. The facility or hospital risk classification may change due to an increase or decrease in the number of TB cases during the preceding year. The following criteria are consistent with those of the Centers for Disease Control and Prevention (CDC), TB Elimination Division, as outlined in the MMWR December 30, 2005/Vol.54/No.RR-17, “Guidelines for Preventing the Transmission of </w:t>
      </w:r>
      <w:r>
        <w:rPr>
          <w:rFonts w:ascii="Times New Roman" w:hAnsi="Times New Roman"/>
          <w:b w:val="false"/>
          <w:i/>
          <w:color w:val="000000"/>
          <w:sz w:val="22"/>
        </w:rPr>
        <w:t>Mycobacterium tuberculosis</w:t>
      </w:r>
      <w:r>
        <w:rPr>
          <w:rFonts w:ascii="Times New Roman" w:hAnsi="Times New Roman"/>
          <w:b w:val="false"/>
          <w:i w:val="false"/>
          <w:color w:val="000000"/>
          <w:sz w:val="22"/>
        </w:rPr>
        <w:t xml:space="preserve"> in Health-Care Settings, 2005.”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59.4(1)</w:t>
      </w:r>
      <w:r>
        <w:rPr>
          <w:rFonts w:ascii="Times New Roman" w:hAnsi="Times New Roman"/>
          <w:b w:val="false"/>
          <w:i w:val="false"/>
          <w:color w:val="000000"/>
          <w:sz w:val="22"/>
        </w:rPr>
        <w:t> </w:t>
      </w:r>
      <w:r>
        <w:rPr>
          <w:rFonts w:ascii="Times New Roman" w:hAnsi="Times New Roman"/>
          <w:b w:val="false"/>
          <w:i/>
          <w:color w:val="000000"/>
          <w:sz w:val="22"/>
        </w:rPr>
        <w:t xml:space="preserve">Types of risk classifications.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“Low risk” means that a facility or hospital is one in which persons with active TB disease are not expected to be encountered and in which exposure to TB is unlikely.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“Medium risk” means that a facility or hospital is one in which health care workers will or might be exposed to persons with active TB disease or to clinical specimens that might contain </w:t>
      </w:r>
      <w:r>
        <w:rPr>
          <w:rFonts w:ascii="Times New Roman" w:hAnsi="Times New Roman"/>
          <w:b w:val="false"/>
          <w:i/>
          <w:color w:val="000000"/>
          <w:sz w:val="22"/>
        </w:rPr>
        <w:t>M. tuberculosis</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“Potential ongoing transmission” means that a facility or hospital is one in which there is evidence of person-to-person transmission of </w:t>
      </w:r>
      <w:r>
        <w:rPr>
          <w:rFonts w:ascii="Times New Roman" w:hAnsi="Times New Roman"/>
          <w:b w:val="false"/>
          <w:i/>
          <w:color w:val="000000"/>
          <w:sz w:val="22"/>
        </w:rPr>
        <w:t>M. tuberculosis</w:t>
      </w:r>
      <w:r>
        <w:rPr>
          <w:rFonts w:ascii="Times New Roman" w:hAnsi="Times New Roman"/>
          <w:b w:val="false"/>
          <w:i w:val="false"/>
          <w:color w:val="000000"/>
          <w:sz w:val="22"/>
        </w:rPr>
        <w:t>. This classification is a temporary classification. If it is determined that this classification applies to a facility or hospital, the facility or hospital shall consult with the department of public health’s TB control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59.4(2)</w:t>
      </w:r>
      <w:r>
        <w:rPr>
          <w:rFonts w:ascii="Times New Roman" w:hAnsi="Times New Roman"/>
          <w:b w:val="false"/>
          <w:i w:val="false"/>
          <w:color w:val="000000"/>
          <w:sz w:val="22"/>
        </w:rPr>
        <w:t> </w:t>
      </w:r>
      <w:r>
        <w:rPr>
          <w:rFonts w:ascii="Times New Roman" w:hAnsi="Times New Roman"/>
          <w:b w:val="false"/>
          <w:i/>
          <w:color w:val="000000"/>
          <w:sz w:val="22"/>
        </w:rPr>
        <w:t xml:space="preserve">Classification criteria—low risk.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Inpatient settings with 200 beds or more. If a facility or hospital has fewer than six TB patients for the preceding year, the facility or hospital shall be classified as low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Inpatient settings with fewer than 200 beds. If a facility or hospital has fewer than three TB patients for the preceding year, the facility or hospital shall be classified as low risk.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59.4(3)</w:t>
      </w:r>
      <w:r>
        <w:rPr>
          <w:rFonts w:ascii="Times New Roman" w:hAnsi="Times New Roman"/>
          <w:b w:val="false"/>
          <w:i w:val="false"/>
          <w:color w:val="000000"/>
          <w:sz w:val="22"/>
        </w:rPr>
        <w:t> </w:t>
      </w:r>
      <w:r>
        <w:rPr>
          <w:rFonts w:ascii="Times New Roman" w:hAnsi="Times New Roman"/>
          <w:b w:val="false"/>
          <w:i/>
          <w:color w:val="000000"/>
          <w:sz w:val="22"/>
        </w:rPr>
        <w:t xml:space="preserve">Classification criteria—medium risk.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Inpatient settings with 200 beds or more. If a facility or hospital has six or more TB patients for the preceding year, the facility or hospital shall be classified as medium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Inpatient settings with fewer than 200 beds. If a facility or hospital has three or more TB patients for the preceding year, the facility or hospital shall be classified as medium risk.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59.4(4)</w:t>
      </w:r>
      <w:r>
        <w:rPr>
          <w:rFonts w:ascii="Times New Roman" w:hAnsi="Times New Roman"/>
          <w:b w:val="false"/>
          <w:i w:val="false"/>
          <w:color w:val="000000"/>
          <w:sz w:val="22"/>
        </w:rPr>
        <w:t> </w:t>
      </w:r>
      <w:r>
        <w:rPr>
          <w:rFonts w:ascii="Times New Roman" w:hAnsi="Times New Roman"/>
          <w:b w:val="false"/>
          <w:i/>
          <w:color w:val="000000"/>
          <w:sz w:val="22"/>
        </w:rPr>
        <w:t xml:space="preserve">Classification criteria—potential ongoing transmission. </w:t>
      </w:r>
      <w:r>
        <w:rPr>
          <w:rFonts w:ascii="Times New Roman" w:hAnsi="Times New Roman"/>
          <w:b w:val="false"/>
          <w:i w:val="false"/>
          <w:color w:val="000000"/>
          <w:sz w:val="22"/>
        </w:rPr>
        <w:t xml:space="preserve">If evidence of ongoing </w:t>
      </w:r>
      <w:r>
        <w:rPr>
          <w:rFonts w:ascii="Times New Roman" w:hAnsi="Times New Roman"/>
          <w:b w:val="false"/>
          <w:i/>
          <w:color w:val="000000"/>
          <w:sz w:val="22"/>
        </w:rPr>
        <w:t>M. tuberculosis</w:t>
      </w:r>
      <w:r>
        <w:rPr>
          <w:rFonts w:ascii="Times New Roman" w:hAnsi="Times New Roman"/>
          <w:b w:val="false"/>
          <w:i w:val="false"/>
          <w:color w:val="000000"/>
          <w:sz w:val="22"/>
        </w:rPr>
        <w:t xml:space="preserve"> transmission exists at a facility or hospital, the facility or hospital shall be classified as potential ongoing transmission, regardless of the facility’s or hospital’s previous classification.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3930C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481—59.5</w:t>
      </w:r>
      <w:r>
        <w:rPr>
          <w:rFonts w:ascii="Times New Roman" w:hAnsi="Times New Roman"/>
          <w:b/>
          <w:i w:val="false"/>
          <w:color w:val="000000"/>
          <w:sz w:val="22"/>
        </w:rPr>
        <w:t xml:space="preserve">(135B,135C) </w:t>
      </w:r>
      <w:r>
        <w:rPr>
          <w:rFonts w:ascii="Times New Roman" w:hAnsi="Times New Roman"/>
          <w:b/>
          <w:i w:val="false"/>
          <w:color w:val="000000"/>
          <w:sz w:val="22"/>
        </w:rPr>
        <w:t xml:space="preserve">Baseline TB screening procedures for health care facilities and hospitals.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59.5(1)</w:t>
      </w:r>
      <w:r>
        <w:rPr>
          <w:rFonts w:ascii="Times New Roman" w:hAnsi="Times New Roman"/>
          <w:b w:val="false"/>
          <w:i w:val="false"/>
          <w:color w:val="000000"/>
          <w:sz w:val="22"/>
        </w:rPr>
        <w:t> </w:t>
      </w:r>
      <w:r>
        <w:rPr>
          <w:rFonts w:ascii="Times New Roman" w:hAnsi="Times New Roman"/>
          <w:b w:val="false"/>
          <w:i w:val="false"/>
          <w:color w:val="000000"/>
          <w:sz w:val="22"/>
        </w:rPr>
        <w:t xml:space="preserve">All HCWs shall receive baseline TB screening upon employment. Baseline TB screening consists of two components: (1) assessing for current symptoms of active TB disease and (2) testing using the two-step TST procedure or a single IGRA to screen for infection with </w:t>
      </w:r>
      <w:r>
        <w:rPr>
          <w:rFonts w:ascii="Times New Roman" w:hAnsi="Times New Roman"/>
          <w:b w:val="false"/>
          <w:i/>
          <w:color w:val="000000"/>
          <w:sz w:val="22"/>
        </w:rPr>
        <w:t>M. tuberculosis</w:t>
      </w:r>
      <w:r>
        <w:rPr>
          <w:rFonts w:ascii="Times New Roman" w:hAnsi="Times New Roman"/>
          <w:b w:val="false"/>
          <w:i w:val="false"/>
          <w:color w:val="000000"/>
          <w:sz w:val="22"/>
        </w:rPr>
        <w:t>. If the first-step TST result is negative, the second stage of the two-step TST is recommended one to three weeks after the first TST result was read. Administration of the second stage of the two-step TST shall not exceed 12 months after the first TST result was read. If initiation of the second stage of the two-step TST is greater than 12 months from when the first TST result was read, the two-step procedure must be restarted. If the first-step TST result is positive, it is not necessary to perform the second stage of the two-step TST.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59.5(2)</w:t>
      </w:r>
      <w:r>
        <w:rPr>
          <w:rFonts w:ascii="Times New Roman" w:hAnsi="Times New Roman"/>
          <w:b w:val="false"/>
          <w:i w:val="false"/>
          <w:color w:val="000000"/>
          <w:sz w:val="22"/>
        </w:rPr>
        <w:t> </w:t>
      </w:r>
      <w:r>
        <w:rPr>
          <w:rFonts w:ascii="Times New Roman" w:hAnsi="Times New Roman"/>
          <w:b w:val="false"/>
          <w:i w:val="false"/>
          <w:color w:val="000000"/>
          <w:sz w:val="22"/>
        </w:rPr>
        <w:t>An HCW may begin working with patients or residents after a negative TB symptom screen (i.e., no symptoms of active TB disease) and a negative TST (i.e., first step) or negative IGRA. The second TST may be performed after the HCW starts working with patients or residents.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59.5(3)</w:t>
      </w:r>
      <w:r>
        <w:rPr>
          <w:rFonts w:ascii="Times New Roman" w:hAnsi="Times New Roman"/>
          <w:b w:val="false"/>
          <w:i w:val="false"/>
          <w:color w:val="000000"/>
          <w:sz w:val="22"/>
        </w:rPr>
        <w:t> </w:t>
      </w:r>
      <w:r>
        <w:rPr>
          <w:rFonts w:ascii="Times New Roman" w:hAnsi="Times New Roman"/>
          <w:b w:val="false"/>
          <w:i w:val="false"/>
          <w:color w:val="000000"/>
          <w:sz w:val="22"/>
        </w:rPr>
        <w:t xml:space="preserve">An HCW with a new positive test result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(i.e., TST or IGRA) shall receive one chest radiograph result to exclude TB disease. Repeat radiographs are not needed unless signs or symptoms of TB disease develop or unless a repeat radiograph is recommended by a clinician. Treatment for LTBI should be considered in accordance with CDC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59.5(4)</w:t>
      </w:r>
      <w:r>
        <w:rPr>
          <w:rFonts w:ascii="Times New Roman" w:hAnsi="Times New Roman"/>
          <w:b w:val="false"/>
          <w:i w:val="false"/>
          <w:color w:val="000000"/>
          <w:sz w:val="22"/>
        </w:rPr>
        <w:t> </w:t>
      </w:r>
      <w:r>
        <w:rPr>
          <w:rFonts w:ascii="Times New Roman" w:hAnsi="Times New Roman"/>
          <w:b w:val="false"/>
          <w:i w:val="false"/>
          <w:color w:val="000000"/>
          <w:sz w:val="22"/>
        </w:rPr>
        <w:t>An HCW with documentation of past positive test results (i.e., TST or IGRA) and documentation of the results of a chest radiograph indicating no active disease, dated after the date of the positive TST or IGRA test result, does not need another chest radiograph at the time of hire.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59.5(5)</w:t>
      </w:r>
      <w:r>
        <w:rPr>
          <w:rFonts w:ascii="Times New Roman" w:hAnsi="Times New Roman"/>
          <w:b w:val="false"/>
          <w:i w:val="false"/>
          <w:color w:val="000000"/>
          <w:sz w:val="22"/>
        </w:rPr>
        <w:t> </w:t>
      </w:r>
      <w:r>
        <w:rPr>
          <w:rFonts w:ascii="Times New Roman" w:hAnsi="Times New Roman"/>
          <w:b w:val="false"/>
          <w:i w:val="false"/>
          <w:color w:val="000000"/>
          <w:sz w:val="22"/>
        </w:rPr>
        <w:t xml:space="preserve">TB, TST or IGRA tests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do not need to be performed for HCWs with a documented history of TB disease, documented previously positive test result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or documented completion of treatment for LTBI or TB disease. A TB symptom screen and documentation of a previously positive test result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can be substituted for a baseline test result if the documentation includes a recorded TST result in millimeters or IGRA result. All other HCWs should undergo baseline testing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to ensure that the test result on record in the setting has been performed and measured using the recommended diagnostic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59.5(6)</w:t>
      </w:r>
      <w:r>
        <w:rPr>
          <w:rFonts w:ascii="Times New Roman" w:hAnsi="Times New Roman"/>
          <w:b w:val="false"/>
          <w:i w:val="false"/>
          <w:color w:val="000000"/>
          <w:sz w:val="22"/>
        </w:rPr>
        <w:t> </w:t>
      </w:r>
      <w:r>
        <w:rPr>
          <w:rFonts w:ascii="Times New Roman" w:hAnsi="Times New Roman"/>
          <w:b w:val="false"/>
          <w:i w:val="false"/>
          <w:color w:val="000000"/>
          <w:sz w:val="22"/>
        </w:rPr>
        <w:t>Previous BCG vaccination is not a contraindication to having an IGRA, a TST or a two-step skin testing administered. HCWs with previous BCG vaccination should receive baseline and serial testing in the same manner as those without BCG vaccination. Evaluation of TST reactions in persons BCG-vaccinated should be interpreted using the same criteria for those not BCG-vaccinated. An HCW’s history of BCG vaccination should be disregarded when administering and interpreting TST results. Prior BCG vaccination does not cause a false-positive IGRA test result.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3930C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481—59.6</w:t>
      </w:r>
      <w:r>
        <w:rPr>
          <w:rFonts w:ascii="Times New Roman" w:hAnsi="Times New Roman"/>
          <w:b/>
          <w:i w:val="false"/>
          <w:color w:val="000000"/>
          <w:sz w:val="22"/>
        </w:rPr>
        <w:t xml:space="preserve">(135B,135C) </w:t>
      </w:r>
      <w:r>
        <w:rPr>
          <w:rFonts w:ascii="Times New Roman" w:hAnsi="Times New Roman"/>
          <w:b/>
          <w:i w:val="false"/>
          <w:color w:val="000000"/>
          <w:sz w:val="22"/>
        </w:rPr>
        <w:t xml:space="preserve">Serial TB screening procedures for health care facilities and hospitals.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59.6(1)</w:t>
      </w:r>
      <w:r>
        <w:rPr>
          <w:rFonts w:ascii="Times New Roman" w:hAnsi="Times New Roman"/>
          <w:b w:val="false"/>
          <w:i w:val="false"/>
          <w:color w:val="000000"/>
          <w:sz w:val="22"/>
        </w:rPr>
        <w:t> </w:t>
      </w:r>
      <w:r>
        <w:rPr>
          <w:rFonts w:ascii="Times New Roman" w:hAnsi="Times New Roman"/>
          <w:b w:val="false"/>
          <w:i/>
          <w:color w:val="000000"/>
          <w:sz w:val="22"/>
        </w:rPr>
        <w:t xml:space="preserve">Health care facilities or hospitals classified as low risk. </w:t>
      </w:r>
      <w:r>
        <w:rPr>
          <w:rFonts w:ascii="Times New Roman" w:hAnsi="Times New Roman"/>
          <w:b w:val="false"/>
          <w:i w:val="false"/>
          <w:color w:val="000000"/>
          <w:sz w:val="22"/>
        </w:rPr>
        <w:t xml:space="preserve">After establishing baseline TB screening of HCWs, serial TB screening of HCWs is not necessary for health care facilities or hospitals classified as low risk.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59.6(2)</w:t>
      </w:r>
      <w:r>
        <w:rPr>
          <w:rFonts w:ascii="Times New Roman" w:hAnsi="Times New Roman"/>
          <w:b w:val="false"/>
          <w:i w:val="false"/>
          <w:color w:val="000000"/>
          <w:sz w:val="22"/>
        </w:rPr>
        <w:t> </w:t>
      </w:r>
      <w:r>
        <w:rPr>
          <w:rFonts w:ascii="Times New Roman" w:hAnsi="Times New Roman"/>
          <w:b w:val="false"/>
          <w:i/>
          <w:color w:val="000000"/>
          <w:sz w:val="22"/>
        </w:rPr>
        <w:t xml:space="preserve">Health care facilities or hospitals classified as medium risk.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establishing baseline TB screening, HCWs in health care facilities or hospitals classified as medium risk shall receive serial TB screening annually. However, an HCW with a previous positive TB test result shall only receive annual TB symptom screening in accordance with </w:t>
      </w:r>
      <w:hyperlink r:id="rId9">
        <w:r>
          <w:rPr>
            <w:rStyle w:val="Hyperlink"/>
            <w:rFonts w:ascii="Times New Roman" w:hAnsi="Times New Roman"/>
            <w:b w:val="false"/>
            <w:i w:val="false"/>
            <w:color w:val="000000"/>
            <w:sz w:val="22"/>
          </w:rPr>
          <w:t>59.5(5)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HCW with a baseline positive or new positive test result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or documentation of previous treatment for LTBI or TB disease shall receive one chest radiograph result to exclude TB disease. Instead of participating in serial testing, HCWs should receive a symptom screen annually. This screen should be accomplished by educating HCWs about symptoms of TB disease and instructing HCWs to report any such symptoms immediately to the occupational health unit. Treatment for LTBI should be considered in accordance with CDC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59.6(3)</w:t>
      </w:r>
      <w:r>
        <w:rPr>
          <w:rFonts w:ascii="Times New Roman" w:hAnsi="Times New Roman"/>
          <w:b w:val="false"/>
          <w:i w:val="false"/>
          <w:color w:val="000000"/>
          <w:sz w:val="22"/>
        </w:rPr>
        <w:t> </w:t>
      </w:r>
      <w:r>
        <w:rPr>
          <w:rFonts w:ascii="Times New Roman" w:hAnsi="Times New Roman"/>
          <w:b w:val="false"/>
          <w:i/>
          <w:color w:val="000000"/>
          <w:sz w:val="22"/>
        </w:rPr>
        <w:t xml:space="preserve">Health care facilities or hospitals classified as potential ongoing transmission. </w:t>
      </w:r>
      <w:r>
        <w:rPr>
          <w:rFonts w:ascii="Times New Roman" w:hAnsi="Times New Roman"/>
          <w:b w:val="false"/>
          <w:i w:val="false"/>
          <w:color w:val="000000"/>
          <w:sz w:val="22"/>
        </w:rPr>
        <w:t xml:space="preserve">HCWs in facilities or hospitals classified as potential ongoing transmission shall receive serial TB screening every eight to ten weeks until lapses in infection control have been corrected and no additional evidence of ongoing transmission is apparent. However, an HCW with a previous positive TB test result shall only receive TB symptom screening in accordance with </w:t>
      </w:r>
      <w:hyperlink r:id="rId10">
        <w:r>
          <w:rPr>
            <w:rStyle w:val="Hyperlink"/>
            <w:rFonts w:ascii="Times New Roman" w:hAnsi="Times New Roman"/>
            <w:b w:val="false"/>
            <w:i w:val="false"/>
            <w:color w:val="000000"/>
            <w:sz w:val="22"/>
          </w:rPr>
          <w:t>59.5(5)</w:t>
        </w:r>
      </w:hyperlink>
      <w:r>
        <w:rPr>
          <w:rFonts w:ascii="Times New Roman" w:hAnsi="Times New Roman"/>
          <w:b w:val="false"/>
          <w:i w:val="false"/>
          <w:color w:val="000000"/>
          <w:sz w:val="22"/>
        </w:rPr>
        <w:t>. The potential ongoing transmission classification should be used only as a temporary classification. This classification warrants immediate investigation and corrective steps. After a determination that ongoing transmission has ceased, the setting shall be reclassified as medium risk for a minimum of one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3930C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481—59.7</w:t>
      </w:r>
      <w:r>
        <w:rPr>
          <w:rFonts w:ascii="Times New Roman" w:hAnsi="Times New Roman"/>
          <w:b/>
          <w:i w:val="false"/>
          <w:color w:val="000000"/>
          <w:sz w:val="22"/>
        </w:rPr>
        <w:t xml:space="preserve">(135B,135C) </w:t>
      </w:r>
      <w:r>
        <w:rPr>
          <w:rFonts w:ascii="Times New Roman" w:hAnsi="Times New Roman"/>
          <w:b/>
          <w:i w:val="false"/>
          <w:color w:val="000000"/>
          <w:sz w:val="22"/>
        </w:rPr>
        <w:t xml:space="preserve">Screening of HCWs who transfer to other health care facilities or hospitals.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59.7(1)</w:t>
      </w:r>
      <w:r>
        <w:rPr>
          <w:rFonts w:ascii="Times New Roman" w:hAnsi="Times New Roman"/>
          <w:b w:val="false"/>
          <w:i w:val="false"/>
          <w:color w:val="000000"/>
          <w:sz w:val="22"/>
        </w:rPr>
        <w:t> </w:t>
      </w:r>
      <w:r>
        <w:rPr>
          <w:rFonts w:ascii="Times New Roman" w:hAnsi="Times New Roman"/>
          <w:b w:val="false"/>
          <w:i/>
          <w:color w:val="000000"/>
          <w:sz w:val="22"/>
        </w:rPr>
        <w:t xml:space="preserve">HCWs transferring from a low-risk health care facility or hospital to another low-risk health care facility or hospital. </w:t>
      </w:r>
      <w:r>
        <w:rPr>
          <w:rFonts w:ascii="Times New Roman" w:hAnsi="Times New Roman"/>
          <w:b w:val="false"/>
          <w:i w:val="false"/>
          <w:color w:val="000000"/>
          <w:sz w:val="22"/>
        </w:rPr>
        <w:t xml:space="preserve">HCWs with documentation of baseline TB screening who are transferring from a low-risk health care facility or hospital to another low-risk health care facility or hospital do not need to repeat baseline TB screening if the time frame between employment from one facility or hospital to another does not exceed 90 days. If the time frame between employment from one facility or hospital to another exceeds 90 days, baseline TB screening shall be restarted for an HCW with a previous negative test result and a TB symptom screen shall be performed for an HCW with a previous positive TB test result in accordance with </w:t>
      </w:r>
      <w:hyperlink r:id="rId11">
        <w:r>
          <w:rPr>
            <w:rStyle w:val="Hyperlink"/>
            <w:rFonts w:ascii="Times New Roman" w:hAnsi="Times New Roman"/>
            <w:b w:val="false"/>
            <w:i w:val="false"/>
            <w:color w:val="000000"/>
            <w:sz w:val="22"/>
          </w:rPr>
          <w:t>59.5(5)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59.7(2)</w:t>
      </w:r>
      <w:r>
        <w:rPr>
          <w:rFonts w:ascii="Times New Roman" w:hAnsi="Times New Roman"/>
          <w:b w:val="false"/>
          <w:i w:val="false"/>
          <w:color w:val="000000"/>
          <w:sz w:val="22"/>
        </w:rPr>
        <w:t> </w:t>
      </w:r>
      <w:r>
        <w:rPr>
          <w:rFonts w:ascii="Times New Roman" w:hAnsi="Times New Roman"/>
          <w:b w:val="false"/>
          <w:i/>
          <w:color w:val="000000"/>
          <w:sz w:val="22"/>
        </w:rPr>
        <w:t xml:space="preserve">HCWs transferring from a low-risk health care facility or hospital to a medium-risk health care facility or hospital. </w:t>
      </w:r>
      <w:r>
        <w:rPr>
          <w:rFonts w:ascii="Times New Roman" w:hAnsi="Times New Roman"/>
          <w:b w:val="false"/>
          <w:i w:val="false"/>
          <w:color w:val="000000"/>
          <w:sz w:val="22"/>
        </w:rPr>
        <w:t xml:space="preserve">HCWs with documentation of baseline TB screening who are transferring from a low-risk health care facility or hospital to a medium-risk health care facility or hospital do not need to repeat baseline TB screening if the time frame between employment from one facility or hospital to another does not exceed 90 days. If the time frame between employment from one facility or hospital to another exceeds 90 days, baseline TB screening shall be restarted for an HCW with a previous negative test result and a TB symptom screen shall be performed for an HCW with a previous positive TB test result in accordance with </w:t>
      </w:r>
      <w:hyperlink r:id="rId12">
        <w:r>
          <w:rPr>
            <w:rStyle w:val="Hyperlink"/>
            <w:rFonts w:ascii="Times New Roman" w:hAnsi="Times New Roman"/>
            <w:b w:val="false"/>
            <w:i w:val="false"/>
            <w:color w:val="000000"/>
            <w:sz w:val="22"/>
          </w:rPr>
          <w:t>59.5(5)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59.7(3)</w:t>
      </w:r>
      <w:r>
        <w:rPr>
          <w:rFonts w:ascii="Times New Roman" w:hAnsi="Times New Roman"/>
          <w:b w:val="false"/>
          <w:i w:val="false"/>
          <w:color w:val="000000"/>
          <w:sz w:val="22"/>
        </w:rPr>
        <w:t> </w:t>
      </w:r>
      <w:r>
        <w:rPr>
          <w:rFonts w:ascii="Times New Roman" w:hAnsi="Times New Roman"/>
          <w:b w:val="false"/>
          <w:i/>
          <w:color w:val="000000"/>
          <w:sz w:val="22"/>
        </w:rPr>
        <w:t xml:space="preserve">HCWs transferring from a low- or medium-risk health care facility or hospital to a health care facility or hospital classified as potential ongoing transmission. </w:t>
      </w:r>
      <w:r>
        <w:rPr>
          <w:rFonts w:ascii="Times New Roman" w:hAnsi="Times New Roman"/>
          <w:b w:val="false"/>
          <w:i w:val="false"/>
          <w:color w:val="000000"/>
          <w:sz w:val="22"/>
        </w:rPr>
        <w:t xml:space="preserve">HCWs with documentation of baseline TB screening who are transferring to a potential ongoing risk health care facility or hospital do not need to repeat baseline TB screening if the time frame between employment from one facility to another does not exceed 90 days. If the time frame between employment from one facility or hospital to another exceeds 90 days, baseline TB screening shall be restarted for an HCW with a previous negative test result and a TB symptom screen shall be performed for an HCW with a previous positive TB test result in accordance with </w:t>
      </w:r>
      <w:hyperlink r:id="rId13">
        <w:r>
          <w:rPr>
            <w:rStyle w:val="Hyperlink"/>
            <w:rFonts w:ascii="Times New Roman" w:hAnsi="Times New Roman"/>
            <w:b w:val="false"/>
            <w:i w:val="false"/>
            <w:color w:val="000000"/>
            <w:sz w:val="22"/>
          </w:rPr>
          <w:t>59.5(5)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59.7(4)</w:t>
      </w:r>
      <w:r>
        <w:rPr>
          <w:rFonts w:ascii="Times New Roman" w:hAnsi="Times New Roman"/>
          <w:b w:val="false"/>
          <w:i w:val="false"/>
          <w:color w:val="000000"/>
          <w:sz w:val="22"/>
        </w:rPr>
        <w:t> </w:t>
      </w:r>
      <w:r>
        <w:rPr>
          <w:rFonts w:ascii="Times New Roman" w:hAnsi="Times New Roman"/>
          <w:b w:val="false"/>
          <w:i/>
          <w:color w:val="000000"/>
          <w:sz w:val="22"/>
        </w:rPr>
        <w:t xml:space="preserve">HCWs transferring from a medium-risk health care facility or hospital to a low-risk health care facility or hospital.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HCW who is transferring from a medium-risk health care facility or hospital to a low-risk health care facility or hospital and whose previous TB test result was negative shall receive a symptom screen and a single TST or IGRA upon employment if the time frame between employment from one facility to another does not exceed 90 days. If the time frame between employment from one facility or hospital to another exceeds 90 days, baseline TB screening shall be restarted.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HCW who is transferring from a medium-risk health care facility or hospital to a low-risk health care facility or hospital and whose previous TB test result was positive shall receive a symptom screen upon employment in accordance with </w:t>
      </w:r>
      <w:hyperlink r:id="rId14">
        <w:r>
          <w:rPr>
            <w:rStyle w:val="Hyperlink"/>
            <w:rFonts w:ascii="Times New Roman" w:hAnsi="Times New Roman"/>
            <w:b w:val="false"/>
            <w:i w:val="false"/>
            <w:color w:val="000000"/>
            <w:sz w:val="22"/>
          </w:rPr>
          <w:t>59.5(5)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59.7(5)</w:t>
      </w:r>
      <w:r>
        <w:rPr>
          <w:rFonts w:ascii="Times New Roman" w:hAnsi="Times New Roman"/>
          <w:b w:val="false"/>
          <w:i w:val="false"/>
          <w:color w:val="000000"/>
          <w:sz w:val="22"/>
        </w:rPr>
        <w:t> </w:t>
      </w:r>
      <w:r>
        <w:rPr>
          <w:rFonts w:ascii="Times New Roman" w:hAnsi="Times New Roman"/>
          <w:b w:val="false"/>
          <w:i/>
          <w:color w:val="000000"/>
          <w:sz w:val="22"/>
        </w:rPr>
        <w:t xml:space="preserve">HCWs transferring from a health care facility or hospital classified as potential ongoing transmission to a low- or medium-risk health care facility or hospital.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HCW who is transferring from a health care facility or hospital classified as potential ongoing transmission to a low- or medium-risk health care facility or hospital and whose previous TB test result was negative shall receive a symptom screen and a single TST or IGRA upon employment if the time frame between employment from one facility to another does not exceed 90 days. If the time frame between employment from one facility or hospital to another exceeds 90 days, baseline TB screening shall be restarted.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HCW who is transferring from a health care facility or hospital classified as potential ongoing transmission to a low- or medium-risk health care facility or hospital and whose previous TB test result was positive shall receive a symptom screen upon employment in accordance with </w:t>
      </w:r>
      <w:hyperlink r:id="rId15">
        <w:r>
          <w:rPr>
            <w:rStyle w:val="Hyperlink"/>
            <w:rFonts w:ascii="Times New Roman" w:hAnsi="Times New Roman"/>
            <w:b w:val="false"/>
            <w:i w:val="false"/>
            <w:color w:val="000000"/>
            <w:sz w:val="22"/>
          </w:rPr>
          <w:t>59.5(5)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3930C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481—59.8</w:t>
      </w:r>
      <w:r>
        <w:rPr>
          <w:rFonts w:ascii="Times New Roman" w:hAnsi="Times New Roman"/>
          <w:b/>
          <w:i w:val="false"/>
          <w:color w:val="000000"/>
          <w:sz w:val="22"/>
        </w:rPr>
        <w:t xml:space="preserve">(135B,135C) </w:t>
      </w:r>
      <w:r>
        <w:rPr>
          <w:rFonts w:ascii="Times New Roman" w:hAnsi="Times New Roman"/>
          <w:b/>
          <w:i w:val="false"/>
          <w:color w:val="000000"/>
          <w:sz w:val="22"/>
        </w:rPr>
        <w:t xml:space="preserve">Baseline TB screening procedures for residents of health care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59.8(1)</w:t>
      </w:r>
      <w:r>
        <w:rPr>
          <w:rFonts w:ascii="Times New Roman" w:hAnsi="Times New Roman"/>
          <w:b w:val="false"/>
          <w:i w:val="false"/>
          <w:color w:val="000000"/>
          <w:sz w:val="22"/>
        </w:rPr>
        <w:t> </w:t>
      </w:r>
      <w:r>
        <w:rPr>
          <w:rFonts w:ascii="Times New Roman" w:hAnsi="Times New Roman"/>
          <w:b w:val="false"/>
          <w:i w:val="false"/>
          <w:color w:val="000000"/>
          <w:sz w:val="22"/>
        </w:rPr>
        <w:t xml:space="preserve">Baseline TB screening is a formal procedure to evaluate residents for LTBI and TB disease. Baseline TB screening consists of two components: (1) assessing for current symptoms of active TB disease, and (2) using the two-step TST procedure or a single IGRA to screen for infection with </w:t>
      </w:r>
      <w:r>
        <w:rPr>
          <w:rFonts w:ascii="Times New Roman" w:hAnsi="Times New Roman"/>
          <w:b w:val="false"/>
          <w:i/>
          <w:color w:val="000000"/>
          <w:sz w:val="22"/>
        </w:rPr>
        <w:t>M. tuberculosis</w:t>
      </w:r>
      <w:r>
        <w:rPr>
          <w:rFonts w:ascii="Times New Roman" w:hAnsi="Times New Roman"/>
          <w:b w:val="false"/>
          <w:i w:val="false"/>
          <w:color w:val="000000"/>
          <w:sz w:val="22"/>
        </w:rPr>
        <w:t>. If the first-step TST result is negative, the second stage of the two-step TST is recommended one to three weeks after the first TST result was read. Administration of the second stage of the two-step TST shall not exceed 12 months after the first TST result was read. If the second stage of the two-step TST is greater than 12 months from when the first TST result was read, the two-step procedure must be restarted. If the first-step TST result is positive, it is not necessary to perform the second stage of the two-step TST.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59.8(2)</w:t>
      </w:r>
      <w:r>
        <w:rPr>
          <w:rFonts w:ascii="Times New Roman" w:hAnsi="Times New Roman"/>
          <w:b w:val="false"/>
          <w:i w:val="false"/>
          <w:color w:val="000000"/>
          <w:sz w:val="22"/>
        </w:rPr>
        <w:t> </w:t>
      </w:r>
      <w:r>
        <w:rPr>
          <w:rFonts w:ascii="Times New Roman" w:hAnsi="Times New Roman"/>
          <w:b w:val="false"/>
          <w:i w:val="false"/>
          <w:color w:val="000000"/>
          <w:sz w:val="22"/>
        </w:rPr>
        <w:t>All residents shall be assessed for current symptoms of active TB disease upon admission. Within 72 hours of a resident’s admission, baseline TB screening for infection shall be initiated unless baseline TB screening occurred within 90 days prior to the resident’s admission.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59.8(3)</w:t>
      </w:r>
      <w:r>
        <w:rPr>
          <w:rFonts w:ascii="Times New Roman" w:hAnsi="Times New Roman"/>
          <w:b w:val="false"/>
          <w:i w:val="false"/>
          <w:color w:val="000000"/>
          <w:sz w:val="22"/>
        </w:rPr>
        <w:t> </w:t>
      </w:r>
      <w:r>
        <w:rPr>
          <w:rFonts w:ascii="Times New Roman" w:hAnsi="Times New Roman"/>
          <w:b w:val="false"/>
          <w:i w:val="false"/>
          <w:color w:val="000000"/>
          <w:sz w:val="22"/>
        </w:rPr>
        <w:t xml:space="preserve">A resident with a new positive test result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(i.e., TST or IGRA) shall receive one chest radiograph result to exclude TB disease. Repeat radiographs are not needed unless signs or symptoms of TB disease develop or unless a repeat radiograph is recommended by a clinician.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59.8(4)</w:t>
      </w:r>
      <w:r>
        <w:rPr>
          <w:rFonts w:ascii="Times New Roman" w:hAnsi="Times New Roman"/>
          <w:b w:val="false"/>
          <w:i w:val="false"/>
          <w:color w:val="000000"/>
          <w:sz w:val="22"/>
        </w:rPr>
        <w:t> </w:t>
      </w:r>
      <w:r>
        <w:rPr>
          <w:rFonts w:ascii="Times New Roman" w:hAnsi="Times New Roman"/>
          <w:b w:val="false"/>
          <w:i w:val="false"/>
          <w:color w:val="000000"/>
          <w:sz w:val="22"/>
        </w:rPr>
        <w:t>Residents with documentation of past positive test results (i.e., TST or IGRA) and documentation of the results of a chest radiograph indicating no active disease, dated after the date of the positive TST or IGRA test result, do not need another chest radiograph at the time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59.8(5)</w:t>
      </w:r>
      <w:r>
        <w:rPr>
          <w:rFonts w:ascii="Times New Roman" w:hAnsi="Times New Roman"/>
          <w:b w:val="false"/>
          <w:i w:val="false"/>
          <w:color w:val="000000"/>
          <w:sz w:val="22"/>
        </w:rPr>
        <w:t> </w:t>
      </w:r>
      <w:r>
        <w:rPr>
          <w:rFonts w:ascii="Times New Roman" w:hAnsi="Times New Roman"/>
          <w:b w:val="false"/>
          <w:i w:val="false"/>
          <w:color w:val="000000"/>
          <w:sz w:val="22"/>
        </w:rPr>
        <w:t xml:space="preserve">TB, TST or IGRA tests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do not need to be performed for residents with a documented history of TB disease, documented previously positive test result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or documented completion of treatment for LTBI or TB disease. Documentation of a previously positive test result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can be substituted for a baseline test result if the documentation includes a recorded TST result in millimeters or IGRA result, including the concentration of cytokine measured (e.g., IFN-g). All other residents should undergo baseline testing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to ensure that the test result on record in the setting has been performed and measured using the recommended diagnostic procedures.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3930C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481—59.9</w:t>
      </w:r>
      <w:r>
        <w:rPr>
          <w:rFonts w:ascii="Times New Roman" w:hAnsi="Times New Roman"/>
          <w:b/>
          <w:i w:val="false"/>
          <w:color w:val="000000"/>
          <w:sz w:val="22"/>
        </w:rPr>
        <w:t xml:space="preserve">(135B,135C) </w:t>
      </w:r>
      <w:r>
        <w:rPr>
          <w:rFonts w:ascii="Times New Roman" w:hAnsi="Times New Roman"/>
          <w:b/>
          <w:i w:val="false"/>
          <w:color w:val="000000"/>
          <w:sz w:val="22"/>
        </w:rPr>
        <w:t xml:space="preserve">Serial TB screening procedures for residents of health care facilities. </w:t>
      </w:r>
      <w:r>
        <w:rPr>
          <w:rFonts w:ascii="Times New Roman" w:hAnsi="Times New Roman"/>
          <w:b w:val="false"/>
          <w:i w:val="false"/>
          <w:color w:val="000000"/>
          <w:sz w:val="22"/>
        </w:rPr>
        <w:t>After baseline TB screening is accomplished, serial TB screening of residents is not recommended.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3930C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481—59.10</w:t>
      </w:r>
      <w:r>
        <w:rPr>
          <w:rFonts w:ascii="Times New Roman" w:hAnsi="Times New Roman"/>
          <w:b/>
          <w:i w:val="false"/>
          <w:color w:val="000000"/>
          <w:sz w:val="22"/>
        </w:rPr>
        <w:t xml:space="preserve">(135B,135C) </w:t>
      </w:r>
      <w:r>
        <w:rPr>
          <w:rFonts w:ascii="Times New Roman" w:hAnsi="Times New Roman"/>
          <w:b/>
          <w:i w:val="false"/>
          <w:color w:val="000000"/>
          <w:sz w:val="22"/>
        </w:rPr>
        <w:t xml:space="preserve">Performance of screening and testing. </w:t>
      </w:r>
      <w:r>
        <w:rPr>
          <w:rFonts w:ascii="Times New Roman" w:hAnsi="Times New Roman"/>
          <w:b w:val="false"/>
          <w:i w:val="false"/>
          <w:color w:val="000000"/>
          <w:sz w:val="22"/>
        </w:rPr>
        <w:t>Any nurse licensed in Iowa and properly trained to screen for TB and perform TB testing may screen for TB and perform TB testing.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3930C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6">
        <w:r>
          <w:rPr>
            <w:rStyle w:val="Hyperlink"/>
            <w:rFonts w:ascii="Times New Roman" w:hAnsi="Times New Roman"/>
            <w:b w:val="false"/>
            <w:i w:val="false"/>
            <w:color w:val="000000"/>
            <w:sz w:val="22"/>
          </w:rPr>
          <w:t>135B.7</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135C.14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0484C</w:t>
      </w:r>
      <w:r>
        <w:rPr>
          <w:rFonts w:ascii="Times New Roman" w:hAnsi="Times New Roman"/>
          <w:b w:val="false"/>
          <w:i w:val="false"/>
          <w:color w:val="000000"/>
          <w:sz w:val="21"/>
        </w:rPr>
        <w:t xml:space="preserve"> (Notice ARC 0353C, IAB 10/3/12)</w:t>
      </w:r>
      <w:r>
        <w:rPr>
          <w:rFonts w:ascii="Times New Roman" w:hAnsi="Times New Roman"/>
          <w:b w:val="false"/>
          <w:i w:val="false"/>
          <w:color w:val="000000"/>
          <w:sz w:val="21"/>
        </w:rPr>
        <w:t>, IAB 12/12/12, effective 1/16/13]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ARC 0674C, IAB 4/3/13, effective 3/26/13]</w:t>
      </w:r>
    </w:p>
    <w:p>
      <w:pPr>
        <w:spacing w:before="0" w:after="0"/>
        <w:ind w:left="120"/>
        <w:jc w:val="center"/>
      </w:pPr>
      <w:r>
        <w:rPr>
          <w:rFonts w:ascii="Times New Roman" w:hAnsi="Times New Roman"/>
          <w:b w:val="false"/>
          <w:i w:val="false"/>
          <w:color w:val="000000"/>
          <w:sz w:val="21"/>
        </w:rPr>
        <w:t>[Filed ARC 0761C</w:t>
      </w:r>
      <w:r>
        <w:rPr>
          <w:rFonts w:ascii="Times New Roman" w:hAnsi="Times New Roman"/>
          <w:b w:val="false"/>
          <w:i w:val="false"/>
          <w:color w:val="000000"/>
          <w:sz w:val="21"/>
        </w:rPr>
        <w:t xml:space="preserve"> (Notice ARC 0675C, IAB 4/3/13)</w:t>
      </w:r>
      <w:r>
        <w:rPr>
          <w:rFonts w:ascii="Times New Roman" w:hAnsi="Times New Roman"/>
          <w:b w:val="false"/>
          <w:i w:val="false"/>
          <w:color w:val="000000"/>
          <w:sz w:val="21"/>
        </w:rPr>
        <w:t>, IAB 5/29/13, effective 7/3/13]</w:t>
      </w:r>
    </w:p>
    <w:p>
      <w:pPr>
        <w:spacing w:before="0" w:after="0"/>
        <w:ind w:left="120"/>
        <w:jc w:val="center"/>
      </w:pPr>
      <w:r>
        <w:rPr>
          <w:rFonts w:ascii="Times New Roman" w:hAnsi="Times New Roman"/>
          <w:b w:val="false"/>
          <w:i w:val="false"/>
          <w:color w:val="000000"/>
          <w:sz w:val="21"/>
        </w:rPr>
        <w:t>[Filed ARC 3930C</w:t>
      </w:r>
      <w:r>
        <w:rPr>
          <w:rFonts w:ascii="Times New Roman" w:hAnsi="Times New Roman"/>
          <w:b w:val="false"/>
          <w:i w:val="false"/>
          <w:color w:val="000000"/>
          <w:sz w:val="21"/>
        </w:rPr>
        <w:t xml:space="preserve"> (Notice ARC 3818C, IAB 6/6/18)</w:t>
      </w:r>
      <w:r>
        <w:rPr>
          <w:rFonts w:ascii="Times New Roman" w:hAnsi="Times New Roman"/>
          <w:b w:val="false"/>
          <w:i w:val="false"/>
          <w:color w:val="000000"/>
          <w:sz w:val="21"/>
        </w:rPr>
        <w:t>, IAB 8/1/18, effective 9/5/18]</w:t>
      </w:r>
    </w:p>
    <w:p>
      <w:pPr>
        <w:pBdr>
          <w:bottom w:space="2"/>
        </w:pBdr>
        <w:spacing w:before="0" w:after="0"/>
        <w:ind w:left="120"/>
        <w:jc w:val="both"/>
      </w:pPr>
      <w:r>
        <w:rPr>
          <w:rFonts w:ascii="Times New Roman" w:hAnsi="Times New Roman"/>
          <w:b w:val="false"/>
          <w:i w:val="false"/>
          <w:color w:val="000000"/>
          <w:sz w:val="22"/>
        </w:rPr>
        <w:t>January 16, 2013, effective date of Chapter 59 [ARC 0484C] delayed 70 days by the Administrative Rules Review Committee at its meeting held January 8, 2013.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C.1.pdf" Type="http://schemas.openxmlformats.org/officeDocument/2006/relationships/hyperlink" Id="rId5"/>
    <Relationship TargetMode="External" Target="https://www.legis.iowa.gov/docs/iac/rule/481.51.38.pdf" Type="http://schemas.openxmlformats.org/officeDocument/2006/relationships/hyperlink" Id="rId6"/>
    <Relationship TargetMode="External" Target="https://www.legis.iowa.gov/docs/ico/chapter/135B.1.pdf" Type="http://schemas.openxmlformats.org/officeDocument/2006/relationships/hyperlink" Id="rId7"/>
    <Relationship TargetMode="External" Target="https://www.legis.iowa.gov/docs/iac/rule/481.51.38.pdf" Type="http://schemas.openxmlformats.org/officeDocument/2006/relationships/hyperlink" Id="rId8"/>
    <Relationship TargetMode="External" Target="https://www.legis.iowa.gov/docs/iac/rule/481.59.5.pdf" Type="http://schemas.openxmlformats.org/officeDocument/2006/relationships/hyperlink" Id="rId9"/>
    <Relationship TargetMode="External" Target="https://www.legis.iowa.gov/docs/iac/rule/481.59.5.pdf" Type="http://schemas.openxmlformats.org/officeDocument/2006/relationships/hyperlink" Id="rId10"/>
    <Relationship TargetMode="External" Target="https://www.legis.iowa.gov/docs/iac/rule/481.59.5.pdf" Type="http://schemas.openxmlformats.org/officeDocument/2006/relationships/hyperlink" Id="rId11"/>
    <Relationship TargetMode="External" Target="https://www.legis.iowa.gov/docs/iac/rule/481.59.5.pdf" Type="http://schemas.openxmlformats.org/officeDocument/2006/relationships/hyperlink" Id="rId12"/>
    <Relationship TargetMode="External" Target="https://www.legis.iowa.gov/docs/iac/rule/481.59.5.pdf" Type="http://schemas.openxmlformats.org/officeDocument/2006/relationships/hyperlink" Id="rId13"/>
    <Relationship TargetMode="External" Target="https://www.legis.iowa.gov/docs/iac/rule/481.59.5.pdf" Type="http://schemas.openxmlformats.org/officeDocument/2006/relationships/hyperlink" Id="rId14"/>
    <Relationship TargetMode="External" Target="https://www.legis.iowa.gov/docs/iac/rule/481.59.5.pdf" Type="http://schemas.openxmlformats.org/officeDocument/2006/relationships/hyperlink" Id="rId15"/>
    <Relationship TargetMode="External" Target="https://www.legis.iowa.gov/docs/ico/chapter/135B.7.pdf" Type="http://schemas.openxmlformats.org/officeDocument/2006/relationships/hyperlink" Id="rId16"/>
    <Relationship TargetMode="External" Target="https://www.legis.iowa.gov/docs/ico/chapter/135C.14.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