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572</w:t>
      </w:r>
    </w:p>
    <w:p>
      <w:pPr>
        <w:spacing w:before="0" w:after="0"/>
        <w:ind w:left="120"/>
        <w:jc w:val="center"/>
      </w:pPr>
      <w:r>
        <w:rPr>
          <w:rFonts w:ascii="Times New Roman" w:hAnsi="Times New Roman"/>
          <w:b w:val="false"/>
          <w:i w:val="false"/>
          <w:color w:val="000000"/>
          <w:sz w:val="21"/>
        </w:rPr>
        <w:t xml:space="preserve">DENTAL LICENSURE, REGISTRATION, </w:t>
      </w:r>
      <w:r>
        <w:br/>
      </w:r>
      <w:r>
        <w:rPr>
          <w:rFonts w:ascii="Times New Roman" w:hAnsi="Times New Roman"/>
          <w:b w:val="false"/>
          <w:i w:val="false"/>
          <w:color w:val="000000"/>
          <w:sz w:val="21"/>
        </w:rPr>
        <w:t>RENEWAL, REACTIVATION AND REINSTATEMENT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481—572.1</w:t>
      </w:r>
      <w:r>
        <w:rPr>
          <w:rFonts w:ascii="Times New Roman" w:hAnsi="Times New Roman"/>
          <w:b/>
          <w:i w:val="false"/>
          <w:color w:val="000000"/>
          <w:sz w:val="22"/>
        </w:rPr>
        <w:t xml:space="preserve">(147,153) </w:t>
      </w:r>
      <w:r>
        <w:rPr>
          <w:rFonts w:ascii="Times New Roman" w:hAnsi="Times New Roman"/>
          <w:b/>
          <w:i w:val="false"/>
          <w:color w:val="000000"/>
          <w:sz w:val="22"/>
        </w:rPr>
        <w:t xml:space="preserve">Applicant responsibilities. </w:t>
      </w:r>
      <w:r>
        <w:rPr>
          <w:rFonts w:ascii="Times New Roman" w:hAnsi="Times New Roman"/>
          <w:b w:val="false"/>
          <w:i w:val="false"/>
          <w:color w:val="000000"/>
          <w:sz w:val="22"/>
        </w:rPr>
        <w:t>Applicants for licensure, permit, registration or qualification, including applicants for renewal, reactivation and reinstatement, bear full responsibility for complying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w:t>
      </w:r>
      <w:r>
        <w:rPr>
          <w:rFonts w:ascii="Times New Roman" w:hAnsi="Times New Roman"/>
          <w:b w:val="false"/>
          <w:i w:val="false"/>
          <w:color w:val="000000"/>
          <w:sz w:val="22"/>
        </w:rPr>
        <w:t> </w:t>
      </w:r>
      <w:r>
        <w:rPr>
          <w:rFonts w:ascii="Times New Roman" w:hAnsi="Times New Roman"/>
          <w:b w:val="false"/>
          <w:i w:val="false"/>
          <w:color w:val="000000"/>
          <w:sz w:val="22"/>
        </w:rPr>
        <w:t>Applicants will make application on forms provided by the department and submit the required information and documentation,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all applicable fees required by this chapter pursuant to </w:t>
      </w:r>
      <w:hyperlink r:id="rId5">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which may also include fees charged by other agencies, organizations, or institutions to provide the information required to complete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evidence of current certification in cardiopulmonary resuscitation (CPR) that included a hands-on component unless exempted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Providing a detailed statement disclosing and explaining any disciplinary actions, investigations, complaints, malpractice claims, judgments, settlements, or criminal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Providing accurate, up-to-date, and truthful information, including but not limited to prior professional experience, education, training, examination scores, and disciplinary history;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Signing and verifying the application as to the truth of the statements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572.1(2)</w:t>
      </w:r>
      <w:r>
        <w:rPr>
          <w:rFonts w:ascii="Times New Roman" w:hAnsi="Times New Roman"/>
          <w:b w:val="false"/>
          <w:i w:val="false"/>
          <w:color w:val="000000"/>
          <w:sz w:val="22"/>
        </w:rPr>
        <w:t> </w:t>
      </w:r>
      <w:r>
        <w:rPr>
          <w:rFonts w:ascii="Times New Roman" w:hAnsi="Times New Roman"/>
          <w:b w:val="false"/>
          <w:i w:val="false"/>
          <w:color w:val="000000"/>
          <w:sz w:val="22"/>
        </w:rPr>
        <w:t>An application for a dental or dental hygiene license or faculty permit, including reactivation of a license, may be considered complete prior to completion of the criminal history background check on the applicant conducted by the division of criminal investigation (DCI) or Federal Bureau of Investigation (FBI) for purposes of review and consideration by the executive director, the committee, or the board. However, an applicant is required to submit an additional completed fingerprint packet and fee within 30 days of a request by the department if an earlier fingerprint submission has been determined to be unacceptable by the DCI or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for license, permit, registration, or qualification applies within four months of the date of expiration, the applicant may pay the renewal fee in addition to the applicable application fees specified in </w:t>
      </w:r>
      <w:hyperlink r:id="rId6">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Payment of the renewal fee at the time of application will result in the renewal of the license, permit, registration or qualification upon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w:t>
      </w:r>
      <w:r>
        <w:rPr>
          <w:rFonts w:ascii="Times New Roman" w:hAnsi="Times New Roman"/>
          <w:b w:val="false"/>
          <w:i w:val="false"/>
          <w:color w:val="000000"/>
          <w:sz w:val="22"/>
        </w:rPr>
        <w:t> </w:t>
      </w:r>
      <w:r>
        <w:rPr>
          <w:rFonts w:ascii="Times New Roman" w:hAnsi="Times New Roman"/>
          <w:b w:val="false"/>
          <w:i w:val="false"/>
          <w:color w:val="000000"/>
          <w:sz w:val="22"/>
        </w:rPr>
        <w:t>Applicants must ensure that an application for initial license, permit, registration or qualification, or for reinstatement or reactivation of the same, is completed within 180 days from the date the application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establishing timely filing, the postmark on a paper submittal will be used, and for applications submitted online, the electronic timestamp of the date of payment will be deemed the date of filing. If the applicant does not submit all required materials within this time period, or if the applicant does not meet the requirements for the license, permit, registration, reinstatement or reactivation, the application will be considered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application is considered incomplete, the applicant will need to submit a new application and pay all applicable fees for further consideration.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272C.12A</w:t>
        </w:r>
      </w:hyperlink>
      <w:r>
        <w:rPr>
          <w:rFonts w:ascii="Times New Roman" w:hAnsi="Times New Roman"/>
          <w:b w:val="false"/>
          <w:i w:val="false"/>
          <w:color w:val="000000"/>
          <w:sz w:val="22"/>
        </w:rPr>
        <w:t xml:space="preserve"> and chapter </w:t>
      </w:r>
      <w:hyperlink r:id="rId11">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481—572.2</w:t>
      </w:r>
      <w:r>
        <w:rPr>
          <w:rFonts w:ascii="Times New Roman" w:hAnsi="Times New Roman"/>
          <w:b/>
          <w:i w:val="false"/>
          <w:color w:val="000000"/>
          <w:sz w:val="22"/>
        </w:rPr>
        <w:t xml:space="preserve">(147,153) </w:t>
      </w:r>
      <w:r>
        <w:rPr>
          <w:rFonts w:ascii="Times New Roman" w:hAnsi="Times New Roman"/>
          <w:b/>
          <w:i w:val="false"/>
          <w:color w:val="000000"/>
          <w:sz w:val="22"/>
        </w:rPr>
        <w:t xml:space="preserve">Review of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572.2(1)</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application, the executive director as authorized by the board has discretion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additional information relating to the character, education, and experience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permit,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Refer the application to the committee for review and consideration for matters including but not limited to prior criminal history pursuant to Iowa Code section </w:t>
      </w:r>
      <w:hyperlink r:id="rId12">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chemical dependence, competency, physical or psychological illness, malpractice claims or settlements, or professional disciplinary history that are relevant in determining the applicant’s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an application referred by the executive director, the committee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executive director to issue the license, permit, registration,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Forward the application to the board for further review and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572.2(3)</w:t>
      </w:r>
      <w:r>
        <w:rPr>
          <w:rFonts w:ascii="Times New Roman" w:hAnsi="Times New Roman"/>
          <w:b w:val="false"/>
          <w:i w:val="false"/>
          <w:color w:val="000000"/>
          <w:sz w:val="22"/>
        </w:rPr>
        <w:t> </w:t>
      </w:r>
      <w:r>
        <w:rPr>
          <w:rFonts w:ascii="Times New Roman" w:hAnsi="Times New Roman"/>
          <w:b w:val="false"/>
          <w:i w:val="false"/>
          <w:color w:val="000000"/>
          <w:sz w:val="22"/>
        </w:rPr>
        <w:t>Following board review and consideration of an application, the board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permit, registration or qualification;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Initiate other action in accordance with rule </w:t>
      </w:r>
      <w:hyperlink r:id="rId13">
        <w:r>
          <w:rPr>
            <w:rStyle w:val="Hyperlink"/>
            <w:rFonts w:ascii="Times New Roman" w:hAnsi="Times New Roman"/>
            <w:b w:val="false"/>
            <w:i w:val="false"/>
            <w:color w:val="000000"/>
            <w:sz w:val="22"/>
          </w:rPr>
          <w:t>481—572.22</w:t>
        </w:r>
      </w:hyperlink>
      <w:r>
        <w:rPr>
          <w:rFonts w:ascii="Times New Roman" w:hAnsi="Times New Roman"/>
          <w:b w:val="false"/>
          <w:i w:val="false"/>
          <w:color w:val="000000"/>
          <w:sz w:val="22"/>
        </w:rPr>
        <w:t>(147,153,272C).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572.2(4)</w:t>
      </w:r>
      <w:r>
        <w:rPr>
          <w:rFonts w:ascii="Times New Roman" w:hAnsi="Times New Roman"/>
          <w:b w:val="false"/>
          <w:i w:val="false"/>
          <w:color w:val="000000"/>
          <w:sz w:val="22"/>
        </w:rPr>
        <w:t> </w:t>
      </w:r>
      <w:r>
        <w:rPr>
          <w:rFonts w:ascii="Times New Roman" w:hAnsi="Times New Roman"/>
          <w:b w:val="false"/>
          <w:i w:val="false"/>
          <w:color w:val="000000"/>
          <w:sz w:val="22"/>
        </w:rPr>
        <w:t>The committee or board may require an applicant to appear for an interview as part of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572.2(5)</w:t>
      </w:r>
      <w:r>
        <w:rPr>
          <w:rFonts w:ascii="Times New Roman" w:hAnsi="Times New Roman"/>
          <w:b w:val="false"/>
          <w:i w:val="false"/>
          <w:color w:val="000000"/>
          <w:sz w:val="22"/>
        </w:rPr>
        <w:t> </w:t>
      </w:r>
      <w:r>
        <w:rPr>
          <w:rFonts w:ascii="Times New Roman" w:hAnsi="Times New Roman"/>
          <w:b w:val="false"/>
          <w:i w:val="false"/>
          <w:color w:val="000000"/>
          <w:sz w:val="22"/>
        </w:rPr>
        <w:t>The committee or board may defer final decision making on an application if there is a pending investigation or disciplinary action against an applicant who may otherwise meet the requirements for license, permit, registration or qualification, until such time as the matter has been resolved.</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481—572.3</w:t>
      </w:r>
      <w:r>
        <w:rPr>
          <w:rFonts w:ascii="Times New Roman" w:hAnsi="Times New Roman"/>
          <w:b/>
          <w:i w:val="false"/>
          <w:color w:val="000000"/>
          <w:sz w:val="22"/>
        </w:rPr>
        <w:t xml:space="preserve">(147,153) </w:t>
      </w:r>
      <w:r>
        <w:rPr>
          <w:rFonts w:ascii="Times New Roman" w:hAnsi="Times New Roman"/>
          <w:b/>
          <w:i w:val="false"/>
          <w:color w:val="000000"/>
          <w:sz w:val="22"/>
        </w:rPr>
        <w:t xml:space="preserve">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572.3(1)</w:t>
      </w:r>
      <w:r>
        <w:rPr>
          <w:rFonts w:ascii="Times New Roman" w:hAnsi="Times New Roman"/>
          <w:b w:val="false"/>
          <w:i w:val="false"/>
          <w:color w:val="000000"/>
          <w:sz w:val="22"/>
        </w:rPr>
        <w:t> </w:t>
      </w:r>
      <w:r>
        <w:rPr>
          <w:rFonts w:ascii="Times New Roman" w:hAnsi="Times New Roman"/>
          <w:b w:val="false"/>
          <w:i w:val="false"/>
          <w:color w:val="000000"/>
          <w:sz w:val="22"/>
        </w:rPr>
        <w:t>Applicants for licensure to practice dentistry or dental hygiene in this state who meet the requirements of this rule may be eligible for a license on the basis of examination or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who have held a license issued in another state, district or territory for one year or longer must apply for licensure by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are licensed in another jurisdiction and who are unable to satisfy the requirements for licensure by examination or credentials may be eligible for licensure by verification pursuant to rule </w:t>
      </w:r>
      <w:hyperlink r:id="rId17">
        <w:r>
          <w:rPr>
            <w:rStyle w:val="Hyperlink"/>
            <w:rFonts w:ascii="Times New Roman" w:hAnsi="Times New Roman"/>
            <w:b w:val="false"/>
            <w:i w:val="false"/>
            <w:color w:val="000000"/>
            <w:sz w:val="22"/>
          </w:rPr>
          <w:t>481—572.7</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572.3(2)</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licensure on the basis of examination or credentials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graduation from an accredited dental or dental hygiene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for dental license must have been issued a doctor of dental surgery (DDS) or doctor of medicine in dentistry (DMD)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Graduates of foreign dental schools who have not obtained a DDS or DMD degree from an accredited dental school shall also satisfy the requirements of rule </w:t>
      </w:r>
      <w:hyperlink r:id="rId18">
        <w:r>
          <w:rPr>
            <w:rStyle w:val="Hyperlink"/>
            <w:rFonts w:ascii="Times New Roman" w:hAnsi="Times New Roman"/>
            <w:b w:val="false"/>
            <w:i w:val="false"/>
            <w:color w:val="000000"/>
            <w:sz w:val="22"/>
          </w:rPr>
          <w:t>481—572.4</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by an authorized representative of the school that the applicant was a student in good standing while attending that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passage of the examination administered by the Joint Commission on National Dental Examinations (JCNDE). Applicants who have lawfully practiced dentistry or dental hygiene in another state, district or territory for five or more years are exempt from presenting this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passage of a board-approved clinical examination pursuant to rule </w:t>
      </w:r>
      <w:hyperlink r:id="rId19">
        <w:r>
          <w:rPr>
            <w:rStyle w:val="Hyperlink"/>
            <w:rFonts w:ascii="Times New Roman" w:hAnsi="Times New Roman"/>
            <w:b w:val="false"/>
            <w:i w:val="false"/>
            <w:color w:val="000000"/>
            <w:sz w:val="22"/>
          </w:rPr>
          <w:t>481—572.14</w:t>
        </w:r>
      </w:hyperlink>
      <w:r>
        <w:rPr>
          <w:rFonts w:ascii="Times New Roman" w:hAnsi="Times New Roman"/>
          <w:b w:val="false"/>
          <w:i w:val="false"/>
          <w:color w:val="000000"/>
          <w:sz w:val="22"/>
        </w:rPr>
        <w:t>(147,153) and a statement of all other clinical examinations taken by the applicant with an indication of pass/fail for 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on the basis of examination must have successfully completed the clinical examination within five years of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who have lawfully practiced dentistry or dental hygiene in another state, district or territory for five or more years may be exempt from presenting this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Certification of all licenses issued to the applicant. The certification should include, at a minimum, the name, license number, status, expiration date, and an indication of whether the applicant has been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application fees, including the background check fee, as specified in </w:t>
      </w:r>
      <w:hyperlink r:id="rId20">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completed packet to facilitate a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of a jurisprudence examination pursuant to rule </w:t>
      </w:r>
      <w:hyperlink r:id="rId21">
        <w:r>
          <w:rPr>
            <w:rStyle w:val="Hyperlink"/>
            <w:rFonts w:ascii="Times New Roman" w:hAnsi="Times New Roman"/>
            <w:b w:val="false"/>
            <w:i w:val="false"/>
            <w:color w:val="000000"/>
            <w:sz w:val="22"/>
          </w:rPr>
          <w:t>481—572.15</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572.3(3)</w:t>
      </w:r>
      <w:r>
        <w:rPr>
          <w:rFonts w:ascii="Times New Roman" w:hAnsi="Times New Roman"/>
          <w:b w:val="false"/>
          <w:i w:val="false"/>
          <w:color w:val="000000"/>
          <w:sz w:val="22"/>
        </w:rPr>
        <w:t> </w:t>
      </w:r>
      <w:r>
        <w:rPr>
          <w:rFonts w:ascii="Times New Roman" w:hAnsi="Times New Roman"/>
          <w:b w:val="false"/>
          <w:i w:val="false"/>
          <w:color w:val="000000"/>
          <w:sz w:val="22"/>
        </w:rPr>
        <w:t>Applicants on the basis of credentials must also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2">
        <w:r>
          <w:rPr>
            <w:rStyle w:val="Hyperlink"/>
            <w:rFonts w:ascii="Times New Roman" w:hAnsi="Times New Roman"/>
            <w:b w:val="false"/>
            <w:i w:val="false"/>
            <w:color w:val="000000"/>
            <w:sz w:val="22"/>
          </w:rPr>
          <w:t>153.21</w:t>
        </w:r>
      </w:hyperlink>
      <w:r>
        <w:rPr>
          <w:rFonts w:ascii="Times New Roman" w:hAnsi="Times New Roman"/>
          <w:b w:val="false"/>
          <w:i w:val="false"/>
          <w:color w:val="000000"/>
          <w:sz w:val="22"/>
        </w:rPr>
        <w:t>, evidence that the applicant has met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license in another state, district, or territory under requirements substantially similar to those of this state, and has three consecutive years of lawful practice immediately prior to the date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less than three consecutive years of practice immediately prior to the filing of the application and evidence of successful passage within the previous five-year period of a board-approved clinical examination pursuant to rule </w:t>
      </w:r>
      <w:hyperlink r:id="rId23">
        <w:r>
          <w:rPr>
            <w:rStyle w:val="Hyperlink"/>
            <w:rFonts w:ascii="Times New Roman" w:hAnsi="Times New Roman"/>
            <w:b w:val="false"/>
            <w:i w:val="false"/>
            <w:color w:val="000000"/>
            <w:sz w:val="22"/>
          </w:rPr>
          <w:t>481—572.14</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Results of a self-query of the National Practitioner Data Bank (NPDB).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572.3(4)</w:t>
      </w:r>
      <w:r>
        <w:rPr>
          <w:rFonts w:ascii="Times New Roman" w:hAnsi="Times New Roman"/>
          <w:b w:val="false"/>
          <w:i w:val="false"/>
          <w:color w:val="000000"/>
          <w:sz w:val="22"/>
        </w:rPr>
        <w:t> </w:t>
      </w:r>
      <w:r>
        <w:rPr>
          <w:rFonts w:ascii="Times New Roman" w:hAnsi="Times New Roman"/>
          <w:b w:val="false"/>
          <w:i w:val="false"/>
          <w:color w:val="000000"/>
          <w:sz w:val="22"/>
        </w:rPr>
        <w:t>The board or committee may also require such examinations as may be necessary to evaluate the applicant for licensure by credentials.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and chapters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481—572.4</w:t>
      </w:r>
      <w:r>
        <w:rPr>
          <w:rFonts w:ascii="Times New Roman" w:hAnsi="Times New Roman"/>
          <w:b/>
          <w:i w:val="false"/>
          <w:color w:val="000000"/>
          <w:sz w:val="22"/>
        </w:rPr>
        <w:t xml:space="preserve">(153) </w:t>
      </w:r>
      <w:r>
        <w:rPr>
          <w:rFonts w:ascii="Times New Roman" w:hAnsi="Times New Roman"/>
          <w:b/>
          <w:i w:val="false"/>
          <w:color w:val="000000"/>
          <w:sz w:val="22"/>
        </w:rPr>
        <w:t xml:space="preserve">Graduates of foreign dental schools. </w:t>
      </w:r>
      <w:r>
        <w:rPr>
          <w:rFonts w:ascii="Times New Roman" w:hAnsi="Times New Roman"/>
          <w:b w:val="false"/>
          <w:i w:val="false"/>
          <w:color w:val="000000"/>
          <w:sz w:val="22"/>
        </w:rPr>
        <w:t xml:space="preserve">If a graduate of a foreign dental school does not meet the educational requirements for a license by examination or credentials, and does not qualify for licensure by verification pursuant to Iowa Code section </w:t>
      </w:r>
      <w:hyperlink r:id="rId27">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the applicant must meet the requirements of this rule in addition to meeting the other requirements for licensure specified in rule </w:t>
      </w:r>
      <w:hyperlink r:id="rId28">
        <w:r>
          <w:rPr>
            <w:rStyle w:val="Hyperlink"/>
            <w:rFonts w:ascii="Times New Roman" w:hAnsi="Times New Roman"/>
            <w:b w:val="false"/>
            <w:i w:val="false"/>
            <w:color w:val="000000"/>
            <w:sz w:val="22"/>
          </w:rPr>
          <w:t>481—572.3</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572.4(1)</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licensure of graduates of foreign dental schools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of dental education that is substantially equivalent to a DDS or DMD degree issued by an accredited school. The applicant may demonstrate this by meeting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an undergraduate supplemental dental education program of at least two academic years at an accredited dental school and receipt of a dental diploma, degree or certificate substantially equivalent to a DDS or DMD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postgraduate general practice residency program of at least one academic year at an accredited dental college;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of a formal evaluation of the applicant’s foreign dental education by a board-approved professional credentialing organization. The results of the evaluation must indicate that the nonaccredited dental education completed was substantially equivalent to that of an accredited dental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official transcript verifying graduation from the foreign dental school at which the applicant originally obtained a dental degree. If the transcript is written in a language other than English, an original, official translation will also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Verification, when applicable, from the appropriate governmental authority that the applicant was licensed or otherwise authorized by law to practice dentistry in another country and that no adverse action was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will demonstrate to the satisfaction of the board an ability to read, write, speak, understand, and be understood in the English language. The applicant may demonstrate English proficiency by achieving a score sufficient to be rated in the highest level of ability on each section of the Test of English as a Foreign Language (TOEFL) as administered by the Educational Testing Service (ETS), or other evidence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572.4(2)</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who is a graduate of a foreign dental school shall comply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practiced dentistry in another state, district, territory or country within three years of the date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a clinical examination or assessment within three years of the date of application to demonstrate ongoing clinical competency.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and chapters </w:t>
      </w:r>
      <w:hyperlink r:id="rId3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481—572.5</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assistant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572.5(1)</w:t>
      </w:r>
      <w:r>
        <w:rPr>
          <w:rFonts w:ascii="Times New Roman" w:hAnsi="Times New Roman"/>
          <w:b w:val="false"/>
          <w:i w:val="false"/>
          <w:color w:val="000000"/>
          <w:sz w:val="22"/>
        </w:rPr>
        <w:t> </w:t>
      </w:r>
      <w:r>
        <w:rPr>
          <w:rFonts w:ascii="Times New Roman" w:hAnsi="Times New Roman"/>
          <w:b w:val="false"/>
          <w:i w:val="false"/>
          <w:color w:val="000000"/>
          <w:sz w:val="22"/>
        </w:rPr>
        <w:t>Applications for dental assistant registration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board-approved education and training. Education and clinical training may be satisfied by meeting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Clinical experience as a dental assistant trainee until competency is achieved as determined by the supervising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 experience as a dental assistant in another state, district or territory within five years prior to the date of application and competency is verified by the supervising dentist;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dental assisting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as specified in </w:t>
      </w:r>
      <w:hyperlink r:id="rId32">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of board-approved examination in the areas of infection control, hazardous materials, and jurisprudence as specified in rules </w:t>
      </w:r>
      <w:hyperlink r:id="rId33">
        <w:r>
          <w:rPr>
            <w:rStyle w:val="Hyperlink"/>
            <w:rFonts w:ascii="Times New Roman" w:hAnsi="Times New Roman"/>
            <w:b w:val="false"/>
            <w:i w:val="false"/>
            <w:color w:val="000000"/>
            <w:sz w:val="22"/>
          </w:rPr>
          <w:t>481—572.15</w:t>
        </w:r>
      </w:hyperlink>
      <w:r>
        <w:rPr>
          <w:rFonts w:ascii="Times New Roman" w:hAnsi="Times New Roman"/>
          <w:b w:val="false"/>
          <w:i w:val="false"/>
          <w:color w:val="000000"/>
          <w:sz w:val="22"/>
        </w:rPr>
        <w:t xml:space="preserve">(147,153) and </w:t>
      </w:r>
      <w:hyperlink r:id="rId34">
        <w:r>
          <w:rPr>
            <w:rStyle w:val="Hyperlink"/>
            <w:rFonts w:ascii="Times New Roman" w:hAnsi="Times New Roman"/>
            <w:b w:val="false"/>
            <w:i w:val="false"/>
            <w:color w:val="000000"/>
            <w:sz w:val="22"/>
          </w:rPr>
          <w:t>481—572.16</w:t>
        </w:r>
      </w:hyperlink>
      <w:r>
        <w:rPr>
          <w:rFonts w:ascii="Times New Roman" w:hAnsi="Times New Roman"/>
          <w:b w:val="false"/>
          <w:i w:val="false"/>
          <w:color w:val="000000"/>
          <w:sz w:val="22"/>
        </w:rPr>
        <w:t>(147,153), and dental radiography, if the applicant is also applying for a qualification in dental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meeting the requirements of rule </w:t>
      </w:r>
      <w:hyperlink r:id="rId35">
        <w:r>
          <w:rPr>
            <w:rStyle w:val="Hyperlink"/>
            <w:rFonts w:ascii="Times New Roman" w:hAnsi="Times New Roman"/>
            <w:b w:val="false"/>
            <w:i w:val="false"/>
            <w:color w:val="000000"/>
            <w:sz w:val="22"/>
          </w:rPr>
          <w:t>481—572.6</w:t>
        </w:r>
      </w:hyperlink>
      <w:r>
        <w:rPr>
          <w:rFonts w:ascii="Times New Roman" w:hAnsi="Times New Roman"/>
          <w:b w:val="false"/>
          <w:i w:val="false"/>
          <w:color w:val="000000"/>
          <w:sz w:val="22"/>
        </w:rPr>
        <w:t>(136C,153) if the applicant intends to engage in dental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572.5(2)</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dental assistant who is licensed or registered in another jurisdiction but who is unable to satisfy the requirements for registration in this rule may be eligible to apply for registration by verification pursuant to rule </w:t>
      </w:r>
      <w:hyperlink r:id="rId36">
        <w:r>
          <w:rPr>
            <w:rStyle w:val="Hyperlink"/>
            <w:rFonts w:ascii="Times New Roman" w:hAnsi="Times New Roman"/>
            <w:b w:val="false"/>
            <w:i w:val="false"/>
            <w:color w:val="000000"/>
            <w:sz w:val="22"/>
          </w:rPr>
          <w:t>481—572.7</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481—572.6</w:t>
      </w:r>
      <w:r>
        <w:rPr>
          <w:rFonts w:ascii="Times New Roman" w:hAnsi="Times New Roman"/>
          <w:b/>
          <w:i w:val="false"/>
          <w:color w:val="000000"/>
          <w:sz w:val="22"/>
        </w:rPr>
        <w:t xml:space="preserve">(136C,153) </w:t>
      </w:r>
      <w:r>
        <w:rPr>
          <w:rFonts w:ascii="Times New Roman" w:hAnsi="Times New Roman"/>
          <w:b/>
          <w:i w:val="false"/>
          <w:color w:val="000000"/>
          <w:sz w:val="22"/>
        </w:rPr>
        <w:t xml:space="preserve">Dental radiography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for a radiography qualification must also be a dental assistant pursuant to Iowa Code chapter </w:t>
      </w:r>
      <w:hyperlink r:id="rId40">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or hold an active license issued by the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572.6(2)</w:t>
      </w:r>
      <w:r>
        <w:rPr>
          <w:rFonts w:ascii="Times New Roman" w:hAnsi="Times New Roman"/>
          <w:b w:val="false"/>
          <w:i w:val="false"/>
          <w:color w:val="000000"/>
          <w:sz w:val="22"/>
        </w:rPr>
        <w:t> </w:t>
      </w:r>
      <w:r>
        <w:rPr>
          <w:rFonts w:ascii="Times New Roman" w:hAnsi="Times New Roman"/>
          <w:b w:val="false"/>
          <w:i w:val="false"/>
          <w:color w:val="000000"/>
          <w:sz w:val="22"/>
        </w:rPr>
        <w:t>Applications for dental radiography qualification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within the previous five years, of education and clinical training in the area of dental radiography. The education and clinical training may be satisfied by meeting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on-the-job training in dental radiography until competency is achieved as determined by the supervising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 as a dental assistant in another state that included clinical experience taking dental radiographs within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dental assisting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Certification from the Dental Assisting National Board (DANB) that includes dental radiography and was issued within five years of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as specified in </w:t>
      </w:r>
      <w:hyperlink r:id="rId41">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a board-approved examination in the area of dental radiography in accordance with rule </w:t>
      </w:r>
      <w:hyperlink r:id="rId42">
        <w:r>
          <w:rPr>
            <w:rStyle w:val="Hyperlink"/>
            <w:rFonts w:ascii="Times New Roman" w:hAnsi="Times New Roman"/>
            <w:b w:val="false"/>
            <w:i w:val="false"/>
            <w:color w:val="000000"/>
            <w:sz w:val="22"/>
          </w:rPr>
          <w:t>481—572.16</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136C.3</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481—572.7</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or registration by verification. </w:t>
      </w:r>
      <w:r>
        <w:rPr>
          <w:rFonts w:ascii="Times New Roman" w:hAnsi="Times New Roman"/>
          <w:b w:val="false"/>
          <w:i w:val="false"/>
          <w:color w:val="000000"/>
          <w:sz w:val="22"/>
        </w:rPr>
        <w:t xml:space="preserve">Applicants may be eligible for licensure or registration by verification pursuant to Iowa Code section </w:t>
      </w:r>
      <w:hyperlink r:id="rId45">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Applicants are required to hold a current license or registration in the same profession in at least one other jurisdiction that has a scope or practice that is substantially similar to that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572.7(1)</w:t>
      </w:r>
      <w:r>
        <w:rPr>
          <w:rFonts w:ascii="Times New Roman" w:hAnsi="Times New Roman"/>
          <w:b w:val="false"/>
          <w:i w:val="false"/>
          <w:color w:val="000000"/>
          <w:sz w:val="22"/>
        </w:rPr>
        <w:t> </w:t>
      </w:r>
      <w:r>
        <w:rPr>
          <w:rFonts w:ascii="Times New Roman" w:hAnsi="Times New Roman"/>
          <w:b w:val="false"/>
          <w:i w:val="false"/>
          <w:color w:val="000000"/>
          <w:sz w:val="22"/>
        </w:rPr>
        <w:t>Applications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application fees, including the background check fee for applicants of a dental or dental hygiene license, as specified in </w:t>
      </w:r>
      <w:hyperlink r:id="rId46">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dental or dental hygiene applicants, a completed packet to facilitate a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licensing authority in the jurisdiction that issued the applicant’s license or registration, verifying that the applicant’s license or registration in that jurisdiction complies with the requirements of Iowa Code section </w:t>
      </w:r>
      <w:hyperlink r:id="rId47">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must be sent directly from the licensing authority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of a board-approved jurisprudence examination, pursuant to rule </w:t>
      </w:r>
      <w:hyperlink r:id="rId48">
        <w:r>
          <w:rPr>
            <w:rStyle w:val="Hyperlink"/>
            <w:rFonts w:ascii="Times New Roman" w:hAnsi="Times New Roman"/>
            <w:b w:val="false"/>
            <w:i w:val="false"/>
            <w:color w:val="000000"/>
            <w:sz w:val="22"/>
          </w:rPr>
          <w:t>481—572.15</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 complete criminal record, if the applicant has a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the applicant detailing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Copies of relevant laws setting forth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572.7(2)</w:t>
      </w:r>
      <w:r>
        <w:rPr>
          <w:rFonts w:ascii="Times New Roman" w:hAnsi="Times New Roman"/>
          <w:b w:val="false"/>
          <w:i w:val="false"/>
          <w:color w:val="000000"/>
          <w:sz w:val="22"/>
        </w:rPr>
        <w:t> </w:t>
      </w:r>
      <w:r>
        <w:rPr>
          <w:rFonts w:ascii="Times New Roman" w:hAnsi="Times New Roman"/>
          <w:b w:val="false"/>
          <w:i w:val="false"/>
          <w:color w:val="000000"/>
          <w:sz w:val="22"/>
        </w:rPr>
        <w:t>If another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nor deny a license or registration until the matter is resolved. A person who has had a license or registration revoked, or voluntarily surrendered a license or registration, in another jurisdiction is ineligible for licensure or registration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572.7(3)</w:t>
      </w:r>
      <w:r>
        <w:rPr>
          <w:rFonts w:ascii="Times New Roman" w:hAnsi="Times New Roman"/>
          <w:b w:val="false"/>
          <w:i w:val="false"/>
          <w:color w:val="000000"/>
          <w:sz w:val="22"/>
        </w:rPr>
        <w:t> </w:t>
      </w:r>
      <w:r>
        <w:rPr>
          <w:rFonts w:ascii="Times New Roman" w:hAnsi="Times New Roman"/>
          <w:b w:val="false"/>
          <w:i w:val="false"/>
          <w:color w:val="000000"/>
          <w:sz w:val="22"/>
        </w:rPr>
        <w:t>If an applicant is currently the subject of a complaint, allegation, or investigation relating to unprofessional conduct pending before any regulating entity in another jurisdiction, the board will neither issue nor deny a license or registration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572.7(4)</w:t>
      </w:r>
      <w:r>
        <w:rPr>
          <w:rFonts w:ascii="Times New Roman" w:hAnsi="Times New Roman"/>
          <w:b w:val="false"/>
          <w:i w:val="false"/>
          <w:color w:val="000000"/>
          <w:sz w:val="22"/>
        </w:rPr>
        <w:t> </w:t>
      </w:r>
      <w:r>
        <w:rPr>
          <w:rFonts w:ascii="Times New Roman" w:hAnsi="Times New Roman"/>
          <w:b w:val="false"/>
          <w:i w:val="false"/>
          <w:color w:val="000000"/>
          <w:sz w:val="22"/>
        </w:rPr>
        <w:t>Applicants who satisfy all requirements for a license or registration under this rule except for passing the jurisprudence examination may be issued a temporary license or registration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license or registration is valid for a period of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temporary license or registration may be renewed once for an additional period of three months if the applicant has not failed the jurisprudence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licensee or registrant shall display the board-issued license or registration renewal card that indicates the license or registration is temporary, which will satisfy the requirements in rule </w:t>
      </w:r>
      <w:hyperlink r:id="rId49">
        <w:r>
          <w:rPr>
            <w:rStyle w:val="Hyperlink"/>
            <w:rFonts w:ascii="Times New Roman" w:hAnsi="Times New Roman"/>
            <w:b w:val="false"/>
            <w:i w:val="false"/>
            <w:color w:val="000000"/>
            <w:sz w:val="22"/>
          </w:rPr>
          <w:t>481—574.2</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temporary licensee or registrant must submit proof of passing the jurisprudence examination before the temporary license or registration expires. When the temporary licensee or registrant submits proof of passing the jurisprudence examination, the temporary license or registration will convert to a standard license or registration and be assigned an expiration date consistent with standard licenses or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temporary licensee or registrant does not submit proof of passing the jurisprudence examination prior to the expiration of the temporary license or registration, the temporary licensee or registrant must cease practice until a standard license or registration is issued.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481—572.8</w:t>
      </w:r>
      <w:r>
        <w:rPr>
          <w:rFonts w:ascii="Times New Roman" w:hAnsi="Times New Roman"/>
          <w:b/>
          <w:i w:val="false"/>
          <w:color w:val="000000"/>
          <w:sz w:val="22"/>
        </w:rPr>
        <w:t xml:space="preserve">(153) </w:t>
      </w:r>
      <w:r>
        <w:rPr>
          <w:rFonts w:ascii="Times New Roman" w:hAnsi="Times New Roman"/>
          <w:b/>
          <w:i w:val="false"/>
          <w:color w:val="000000"/>
          <w:sz w:val="22"/>
        </w:rPr>
        <w:t xml:space="preserve">Resident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572.8(1)</w:t>
      </w:r>
      <w:r>
        <w:rPr>
          <w:rFonts w:ascii="Times New Roman" w:hAnsi="Times New Roman"/>
          <w:b w:val="false"/>
          <w:i w:val="false"/>
          <w:color w:val="000000"/>
          <w:sz w:val="22"/>
        </w:rPr>
        <w:t> </w:t>
      </w:r>
      <w:r>
        <w:rPr>
          <w:rFonts w:ascii="Times New Roman" w:hAnsi="Times New Roman"/>
          <w:b w:val="false"/>
          <w:i w:val="false"/>
          <w:color w:val="000000"/>
          <w:sz w:val="22"/>
        </w:rPr>
        <w:t>A dentist or dental hygienist seeking permission to practice as a resident, intern or graduate student at an accredited teaching or educational institution offering advanced education courses may apply for a resident license in lieu of a permanent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572.8(2)</w:t>
      </w:r>
      <w:r>
        <w:rPr>
          <w:rFonts w:ascii="Times New Roman" w:hAnsi="Times New Roman"/>
          <w:b w:val="false"/>
          <w:i w:val="false"/>
          <w:color w:val="000000"/>
          <w:sz w:val="22"/>
        </w:rPr>
        <w:t> </w:t>
      </w:r>
      <w:r>
        <w:rPr>
          <w:rFonts w:ascii="Times New Roman" w:hAnsi="Times New Roman"/>
          <w:b w:val="false"/>
          <w:i w:val="false"/>
          <w:color w:val="000000"/>
          <w:sz w:val="22"/>
        </w:rPr>
        <w:t>Applicants for a resident license are exempt from providing evidence of current CPR certification. Applications for resident license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from the dean or designated administrative officer of the accredited school confirming enrollment as a resident, intern or graduate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signed written statement that includes the anticipated date of completion of the program from a dentist who holds an active Iowa license or faculty permit, who proposes to exercise supervision and direction over said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graduation from an accredited school of dentistry, dental hygiene, or other school approved by the board or license registration committee as authorized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fee as specified in </w:t>
      </w:r>
      <w:hyperlink r:id="rId51">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Clinical experience or assessment as evidenced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practiced clinically in another state, district, territory or country within three years of the date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successfully completed a clinical examination or assessment within three years of the date of application to demonstrate ongoing clinical competency.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572.8(3)</w:t>
      </w:r>
      <w:r>
        <w:rPr>
          <w:rFonts w:ascii="Times New Roman" w:hAnsi="Times New Roman"/>
          <w:b w:val="false"/>
          <w:i w:val="false"/>
          <w:color w:val="000000"/>
          <w:sz w:val="22"/>
        </w:rPr>
        <w:t> </w:t>
      </w:r>
      <w:r>
        <w:rPr>
          <w:rFonts w:ascii="Times New Roman" w:hAnsi="Times New Roman"/>
          <w:b w:val="false"/>
          <w:i w:val="false"/>
          <w:color w:val="000000"/>
          <w:sz w:val="22"/>
        </w:rPr>
        <w:t>If approved, a resident license shall allow the licensee to serve as a resident, intern, or graduate student under the supervision of a licensed or permitted faculty member at an accredited school or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resident license will expire on the expected date of completion of the resident training program as reported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licensee leaves the institution during the anticipated term of the resident license, the license shall be considered null and void. The director of the resident training program should notify the board within 30 days of the licensee’s terminating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resident license may be extended past the original expected completion date of the training program at the discretion of the board or the license and registration committee as authorized by the board. A licensee who wishes to extend the expiration date of the license shall submit an extension application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explaining the need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in the amount specified in </w:t>
      </w:r>
      <w:hyperlink r:id="rId52">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from the director of the resident training program attesting to the progress of the resident; the new expected date of completion; and whether any warnings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of the resident training program should report any warnings that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resident licensee who changes resident training programs, including the pursuit of another postgraduate degree, shall apply for a new resident license and include a statement from the program director documenting the applicant’s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572.8(4)</w:t>
      </w:r>
      <w:r>
        <w:rPr>
          <w:rFonts w:ascii="Times New Roman" w:hAnsi="Times New Roman"/>
          <w:b w:val="false"/>
          <w:i w:val="false"/>
          <w:color w:val="000000"/>
          <w:sz w:val="22"/>
        </w:rPr>
        <w:t> </w:t>
      </w:r>
      <w:r>
        <w:rPr>
          <w:rFonts w:ascii="Times New Roman" w:hAnsi="Times New Roman"/>
          <w:b w:val="false"/>
          <w:i w:val="false"/>
          <w:color w:val="000000"/>
          <w:sz w:val="22"/>
        </w:rPr>
        <w:t>No examination or continuing education will be required for this license.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3">
        <w:r>
          <w:rPr>
            <w:rStyle w:val="Hyperlink"/>
            <w:rFonts w:ascii="Times New Roman" w:hAnsi="Times New Roman"/>
            <w:b w:val="false"/>
            <w:i w:val="false"/>
            <w:color w:val="000000"/>
            <w:sz w:val="22"/>
          </w:rPr>
          <w:t>153.22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481—572.9</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college and dental hygiene program faculty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572.9(1)</w:t>
      </w:r>
      <w:r>
        <w:rPr>
          <w:rFonts w:ascii="Times New Roman" w:hAnsi="Times New Roman"/>
          <w:b w:val="false"/>
          <w:i w:val="false"/>
          <w:color w:val="000000"/>
          <w:sz w:val="22"/>
        </w:rPr>
        <w:t> </w:t>
      </w:r>
      <w:r>
        <w:rPr>
          <w:rFonts w:ascii="Times New Roman" w:hAnsi="Times New Roman"/>
          <w:b w:val="false"/>
          <w:i w:val="false"/>
          <w:color w:val="000000"/>
          <w:sz w:val="22"/>
        </w:rPr>
        <w:t>The board may issue a faculty permit entitling the holder to practice dentistry or dental hygiene as a faculty member within an accredited school or program and affiliated teaching facilities in lieu of a permanent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572.9(2)</w:t>
      </w:r>
      <w:r>
        <w:rPr>
          <w:rFonts w:ascii="Times New Roman" w:hAnsi="Times New Roman"/>
          <w:b w:val="false"/>
          <w:i w:val="false"/>
          <w:color w:val="000000"/>
          <w:sz w:val="22"/>
        </w:rPr>
        <w:t> </w:t>
      </w:r>
      <w:r>
        <w:rPr>
          <w:rFonts w:ascii="Times New Roman" w:hAnsi="Times New Roman"/>
          <w:b w:val="false"/>
          <w:i w:val="false"/>
          <w:color w:val="000000"/>
          <w:sz w:val="22"/>
        </w:rPr>
        <w:t>Applications for a faculty permit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from the dean or designated administrative officer of the accredited school confirming the employment of the applicant as faculty member who is not licensed to practice dentistry or dental hygiene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nonrefundable application fees, including the fingerprint packet and background check fee as specified in </w:t>
      </w:r>
      <w:hyperlink r:id="rId54">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professional qualifications and background of the applicant, including evidence of having graduated from an accredited school or other program approved by the board or the license and registration committee as authorized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completed packet to facilitate the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applicant is licensed by another jurisdiction, the applicant shall furnish evidence from the licensing board of that jurisdiction that the applicant is licensed in good standing and has not been the subject of final or pending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results of a self-query of the NPDB.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of a jurisprudence examination pursuant to rule </w:t>
      </w:r>
      <w:hyperlink r:id="rId55">
        <w:r>
          <w:rPr>
            <w:rStyle w:val="Hyperlink"/>
            <w:rFonts w:ascii="Times New Roman" w:hAnsi="Times New Roman"/>
            <w:b w:val="false"/>
            <w:i w:val="false"/>
            <w:color w:val="000000"/>
            <w:sz w:val="22"/>
          </w:rPr>
          <w:t>481—572.15</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Clinical experience or assessment as evidenced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practiced clinically in another state, district, territory or country within three years of the date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successfully completed a clinical examination or assessment within three years of the date of application to demonstrate ongoing clinical competency.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572.9(3)</w:t>
      </w:r>
      <w:r>
        <w:rPr>
          <w:rFonts w:ascii="Times New Roman" w:hAnsi="Times New Roman"/>
          <w:b w:val="false"/>
          <w:i w:val="false"/>
          <w:color w:val="000000"/>
          <w:sz w:val="22"/>
        </w:rPr>
        <w:t> </w:t>
      </w:r>
      <w:r>
        <w:rPr>
          <w:rFonts w:ascii="Times New Roman" w:hAnsi="Times New Roman"/>
          <w:b w:val="false"/>
          <w:i w:val="false"/>
          <w:color w:val="000000"/>
          <w:sz w:val="22"/>
        </w:rPr>
        <w:t>A faculty permit shall expire on August 31 of every even-numbered year and may be renewed on a biennial basis. The faculty permit will be valid so long as the holder remains a faculty member at an accredited school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572.9(4)</w:t>
      </w:r>
      <w:r>
        <w:rPr>
          <w:rFonts w:ascii="Times New Roman" w:hAnsi="Times New Roman"/>
          <w:b w:val="false"/>
          <w:i w:val="false"/>
          <w:color w:val="000000"/>
          <w:sz w:val="22"/>
        </w:rPr>
        <w:t> </w:t>
      </w:r>
      <w:r>
        <w:rPr>
          <w:rFonts w:ascii="Times New Roman" w:hAnsi="Times New Roman"/>
          <w:b w:val="false"/>
          <w:i w:val="false"/>
          <w:color w:val="000000"/>
          <w:sz w:val="22"/>
        </w:rPr>
        <w:t xml:space="preserve">A faculty permit may be renewed in accordance with rule </w:t>
      </w:r>
      <w:hyperlink r:id="rId56">
        <w:r>
          <w:rPr>
            <w:rStyle w:val="Hyperlink"/>
            <w:rFonts w:ascii="Times New Roman" w:hAnsi="Times New Roman"/>
            <w:b w:val="false"/>
            <w:i w:val="false"/>
            <w:color w:val="000000"/>
            <w:sz w:val="22"/>
          </w:rPr>
          <w:t>481—572.20</w:t>
        </w:r>
      </w:hyperlink>
      <w:r>
        <w:rPr>
          <w:rFonts w:ascii="Times New Roman" w:hAnsi="Times New Roman"/>
          <w:b w:val="false"/>
          <w:i w:val="false"/>
          <w:color w:val="000000"/>
          <w:sz w:val="22"/>
        </w:rPr>
        <w:t xml:space="preserve">(147,153,272C) and </w:t>
      </w:r>
      <w:hyperlink r:id="rId57">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153.37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481—572.10</w:t>
      </w:r>
      <w:r>
        <w:rPr>
          <w:rFonts w:ascii="Times New Roman" w:hAnsi="Times New Roman"/>
          <w:b/>
          <w:i w:val="false"/>
          <w:color w:val="000000"/>
          <w:sz w:val="22"/>
        </w:rPr>
        <w:t xml:space="preserve">(147,153) </w:t>
      </w:r>
      <w:r>
        <w:rPr>
          <w:rFonts w:ascii="Times New Roman" w:hAnsi="Times New Roman"/>
          <w:b/>
          <w:i w:val="false"/>
          <w:color w:val="000000"/>
          <w:sz w:val="22"/>
        </w:rPr>
        <w:t xml:space="preserve">Requirements for issuance and renewal of a local anesthesia permit. </w:t>
      </w:r>
      <w:r>
        <w:rPr>
          <w:rFonts w:ascii="Times New Roman" w:hAnsi="Times New Roman"/>
          <w:b w:val="false"/>
          <w:i w:val="false"/>
          <w:color w:val="000000"/>
          <w:sz w:val="22"/>
        </w:rPr>
        <w:t xml:space="preserve">To administer local anesthesia, a dental hygienist shall hold a current permit pursuant to </w:t>
      </w:r>
      <w:hyperlink r:id="rId59">
        <w:r>
          <w:rPr>
            <w:rStyle w:val="Hyperlink"/>
            <w:rFonts w:ascii="Times New Roman" w:hAnsi="Times New Roman"/>
            <w:b w:val="false"/>
            <w:i w:val="false"/>
            <w:color w:val="000000"/>
            <w:sz w:val="22"/>
          </w:rPr>
          <w:t>481—Chapter 576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572.10(1)</w:t>
      </w:r>
      <w:r>
        <w:rPr>
          <w:rFonts w:ascii="Times New Roman" w:hAnsi="Times New Roman"/>
          <w:b w:val="false"/>
          <w:i w:val="false"/>
          <w:color w:val="000000"/>
          <w:sz w:val="22"/>
        </w:rPr>
        <w:t> </w:t>
      </w:r>
      <w:r>
        <w:rPr>
          <w:rFonts w:ascii="Times New Roman" w:hAnsi="Times New Roman"/>
          <w:b w:val="false"/>
          <w:i w:val="false"/>
          <w:color w:val="000000"/>
          <w:sz w:val="22"/>
        </w:rPr>
        <w:t>Applicants for local anesthesia permits are exempt from providing evidence of current CPR certification. Applications for a local anesthesia permit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local anesthesia permit as specified in </w:t>
      </w:r>
      <w:hyperlink r:id="rId60">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that the applicant meets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 completion, within the previous 36 months, of formal training in the administration of local anesthesia that includes training in block and infiltration anesthesia at an accredited school or other training program approved by the dental hygiene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within the previous 36 months, of a clinical examination in the administration of local anesthesia by a testing center approved by the board in accordance with rule </w:t>
      </w:r>
      <w:hyperlink r:id="rId61">
        <w:r>
          <w:rPr>
            <w:rStyle w:val="Hyperlink"/>
            <w:rFonts w:ascii="Times New Roman" w:hAnsi="Times New Roman"/>
            <w:b w:val="false"/>
            <w:i w:val="false"/>
            <w:color w:val="000000"/>
            <w:sz w:val="22"/>
          </w:rPr>
          <w:t>481—572.14</w:t>
        </w:r>
      </w:hyperlink>
      <w:r>
        <w:rPr>
          <w:rFonts w:ascii="Times New Roman" w:hAnsi="Times New Roman"/>
          <w:b w:val="false"/>
          <w:i w:val="false"/>
          <w:color w:val="000000"/>
          <w:sz w:val="22"/>
        </w:rPr>
        <w:t>(147,153);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applicants who completed training or examination more than 36 months prior to application, evidence of formal training in the administration of local anesthesia and a statement attesting to ongoing practice within the previous 36 months in the administration of local anesthesia in another state or jurisdiction that authorizes a dental hygienist to administer local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shall expire on August 31 of every odd-numbered year. To renew the permit, the dental hygienist must submit a timely application for renewal with evidence of holding an active Iowa dental hygiene license and submit the renewal fee as specified in </w:t>
      </w:r>
      <w:hyperlink r:id="rId62">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572.10(3)</w:t>
      </w:r>
      <w:r>
        <w:rPr>
          <w:rFonts w:ascii="Times New Roman" w:hAnsi="Times New Roman"/>
          <w:b w:val="false"/>
          <w:i w:val="false"/>
          <w:color w:val="000000"/>
          <w:sz w:val="22"/>
        </w:rPr>
        <w:t> </w:t>
      </w:r>
      <w:r>
        <w:rPr>
          <w:rFonts w:ascii="Times New Roman" w:hAnsi="Times New Roman"/>
          <w:b w:val="false"/>
          <w:i w:val="false"/>
          <w:color w:val="000000"/>
          <w:sz w:val="22"/>
        </w:rPr>
        <w:t>Failure to meet the requirements for renewal prior to November 1 following the permit’s expiration will cause the permit to lapse and become invalid.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572.10(4)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that has lapsed may be reactivated upon the permit holder’s application for reactivation, payment of the reactivation fee as specified in </w:t>
      </w:r>
      <w:hyperlink r:id="rId63">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xml:space="preserve">, and evidence of a current Iowa dental hygiene license. A permit that has been lapsed for more than 36 months may be reinstated if the applicant also submits evidence of satisfying the requirements of paragraph </w:t>
      </w:r>
      <w:hyperlink r:id="rId64">
        <w:r>
          <w:rPr>
            <w:rStyle w:val="Hyperlink"/>
            <w:rFonts w:ascii="Times New Roman" w:hAnsi="Times New Roman"/>
            <w:b w:val="false"/>
            <w:i w:val="false"/>
            <w:color w:val="000000"/>
            <w:sz w:val="22"/>
          </w:rPr>
          <w:t>572.10(1)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 </w:t>
      </w:r>
      <w:hyperlink r:id="rId6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481—572.11</w:t>
      </w:r>
      <w:r>
        <w:rPr>
          <w:rFonts w:ascii="Times New Roman" w:hAnsi="Times New Roman"/>
          <w:b/>
          <w:i w:val="false"/>
          <w:color w:val="000000"/>
          <w:sz w:val="22"/>
        </w:rPr>
        <w:t xml:space="preserve">(153) </w:t>
      </w:r>
      <w:r>
        <w:rPr>
          <w:rFonts w:ascii="Times New Roman" w:hAnsi="Times New Roman"/>
          <w:b/>
          <w:i w:val="false"/>
          <w:color w:val="000000"/>
          <w:sz w:val="22"/>
        </w:rPr>
        <w:t xml:space="preserve">Requirements for issuance or renewal of a moderate sedation or general anesthesia permit. </w:t>
      </w:r>
      <w:r>
        <w:rPr>
          <w:rFonts w:ascii="Times New Roman" w:hAnsi="Times New Roman"/>
          <w:b w:val="false"/>
          <w:i w:val="false"/>
          <w:color w:val="000000"/>
          <w:sz w:val="22"/>
        </w:rPr>
        <w:t xml:space="preserve">Pursuant to </w:t>
      </w:r>
      <w:hyperlink r:id="rId68">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 dentists who wish to utilize moderate sedation, deep sedation, or general anesthesia in Iowa must possess a current permit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572.11(1)</w:t>
      </w:r>
      <w:r>
        <w:rPr>
          <w:rFonts w:ascii="Times New Roman" w:hAnsi="Times New Roman"/>
          <w:b w:val="false"/>
          <w:i w:val="false"/>
          <w:color w:val="000000"/>
          <w:sz w:val="22"/>
        </w:rPr>
        <w:t> </w:t>
      </w:r>
      <w:r>
        <w:rPr>
          <w:rFonts w:ascii="Times New Roman" w:hAnsi="Times New Roman"/>
          <w:b w:val="false"/>
          <w:i w:val="false"/>
          <w:color w:val="000000"/>
          <w:sz w:val="22"/>
        </w:rPr>
        <w:t>Applications for moderate sedation or general anesthesia permits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specified in </w:t>
      </w:r>
      <w:hyperlink r:id="rId69">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qualify for a moderate sedation permit, evidence of having successfully completed approved education and training,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60 hours of instruction and management of at least 20 patients, or an accredited residency program that includes formal training and clinical experience in moderate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Rescuing patients from a deeper level of sedation than intended, including managing the airway, intravascular or intraosseous access, and reversal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dentist who intends to administer moderate sedation to pediatric or American Society of Anesthesiologists (ASA) III or IV patients, an accredited residency program that includes formal training in anesthesia and clinical experience in managing pediatric or ASA III or IV patients;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Advanced Cardiac Life Support (ACLS) or Pediatric Advanced Life Support (PALS)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qualify for a general anesthesia permit, evidence of having successfully completed the following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accredited advanced education program that provides training in moderate sedation, deep sedation and general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of one year of advanced training in anesthesiology and related academic subjects beyond the undergraduate dental school level at an accredited advanced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Formal training in airway management;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ACLS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572.11(2)</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issuance of a new permit, all facilities where the applicant intends to provide sedation services must have passed inspection by the board or designated agent pursuant to </w:t>
      </w:r>
      <w:hyperlink r:id="rId70">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572.11(3)</w:t>
      </w:r>
      <w:r>
        <w:rPr>
          <w:rFonts w:ascii="Times New Roman" w:hAnsi="Times New Roman"/>
          <w:b w:val="false"/>
          <w:i w:val="false"/>
          <w:color w:val="000000"/>
          <w:sz w:val="22"/>
        </w:rPr>
        <w:t> </w:t>
      </w:r>
      <w:r>
        <w:rPr>
          <w:rFonts w:ascii="Times New Roman" w:hAnsi="Times New Roman"/>
          <w:b w:val="false"/>
          <w:i w:val="false"/>
          <w:color w:val="000000"/>
          <w:sz w:val="22"/>
        </w:rPr>
        <w:t>The applicant may be required to complete a peer review evaluation or comply with any additional requirements deemed necessary to determine competency in the administration of moderate sedation, deep sedation, or general anesthesia, if requested by the board or the Anesthesia Credentials Committee (ACC), prior to issuance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a moderate sedation or general anesthesia permit will be reviewed by the ACC or the board as deemed necessary to ensure compliance with this rule and </w:t>
      </w:r>
      <w:hyperlink r:id="rId71">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 xml:space="preserve">. Following review of an application, the ACC or the board may take action, in accordance with rule </w:t>
      </w:r>
      <w:hyperlink r:id="rId72">
        <w:r>
          <w:rPr>
            <w:rStyle w:val="Hyperlink"/>
            <w:rFonts w:ascii="Times New Roman" w:hAnsi="Times New Roman"/>
            <w:b w:val="false"/>
            <w:i w:val="false"/>
            <w:color w:val="000000"/>
            <w:sz w:val="22"/>
          </w:rPr>
          <w:t>481—572.22</w:t>
        </w:r>
      </w:hyperlink>
      <w:r>
        <w:rPr>
          <w:rFonts w:ascii="Times New Roman" w:hAnsi="Times New Roman"/>
          <w:b w:val="false"/>
          <w:i w:val="false"/>
          <w:color w:val="000000"/>
          <w:sz w:val="22"/>
        </w:rPr>
        <w:t>(147,153,272C).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572.11(5)</w:t>
      </w:r>
      <w:r>
        <w:rPr>
          <w:rFonts w:ascii="Times New Roman" w:hAnsi="Times New Roman"/>
          <w:b w:val="false"/>
          <w:i w:val="false"/>
          <w:color w:val="000000"/>
          <w:sz w:val="22"/>
        </w:rPr>
        <w:t> </w:t>
      </w:r>
      <w:r>
        <w:rPr>
          <w:rFonts w:ascii="Times New Roman" w:hAnsi="Times New Roman"/>
          <w:b w:val="false"/>
          <w:i w:val="false"/>
          <w:color w:val="000000"/>
          <w:sz w:val="22"/>
        </w:rPr>
        <w:t>Moderate sedation and general anesthesia permits will expire on August 31 of every even-numbered year. A permit may be renewed by submitting an application for renewal, maintaining an active Iowa dental license or faculty permit, and complying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the renewal fee as specified in </w:t>
      </w:r>
      <w:hyperlink r:id="rId73">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current ACLS or PALS certification;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a minimum of six hours of continuing education in the area of sedation. These hours may also be applied toward the renewal of a dental license or faculty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572.11(6)</w:t>
      </w:r>
      <w:r>
        <w:rPr>
          <w:rFonts w:ascii="Times New Roman" w:hAnsi="Times New Roman"/>
          <w:b w:val="false"/>
          <w:i w:val="false"/>
          <w:color w:val="000000"/>
          <w:sz w:val="22"/>
        </w:rPr>
        <w:t> </w:t>
      </w:r>
      <w:r>
        <w:rPr>
          <w:rFonts w:ascii="Times New Roman" w:hAnsi="Times New Roman"/>
          <w:b w:val="false"/>
          <w:i w:val="false"/>
          <w:color w:val="000000"/>
          <w:sz w:val="22"/>
        </w:rPr>
        <w:t>Failure to renew the permit prior to November 1 following its expiration will cause the permit to lapse and become invalid for practice. Permits that have lapsed may be reactivated upon submission of a new application in compliance with this rule. Applications for reactivation of a lapsed permit within six months may be administratively approved, so long as the application satisfies the requirements of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4">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chapter </w:t>
      </w:r>
      <w:hyperlink r:id="rId7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481—572.12</w:t>
      </w:r>
      <w:r>
        <w:rPr>
          <w:rFonts w:ascii="Times New Roman" w:hAnsi="Times New Roman"/>
          <w:b/>
          <w:i w:val="false"/>
          <w:color w:val="000000"/>
          <w:sz w:val="22"/>
        </w:rPr>
        <w:t xml:space="preserve">(153) </w:t>
      </w:r>
      <w:r>
        <w:rPr>
          <w:rFonts w:ascii="Times New Roman" w:hAnsi="Times New Roman"/>
          <w:b/>
          <w:i w:val="false"/>
          <w:color w:val="000000"/>
          <w:sz w:val="22"/>
        </w:rPr>
        <w:t xml:space="preserve">Temporary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572.12(1)</w:t>
      </w:r>
      <w:r>
        <w:rPr>
          <w:rFonts w:ascii="Times New Roman" w:hAnsi="Times New Roman"/>
          <w:b w:val="false"/>
          <w:i w:val="false"/>
          <w:color w:val="000000"/>
          <w:sz w:val="22"/>
        </w:rPr>
        <w:t> </w:t>
      </w:r>
      <w:r>
        <w:rPr>
          <w:rFonts w:ascii="Times New Roman" w:hAnsi="Times New Roman"/>
          <w:b w:val="false"/>
          <w:i w:val="false"/>
          <w:color w:val="000000"/>
          <w:sz w:val="22"/>
        </w:rPr>
        <w:t>The board may issue a temporary permit authorizing the permit holder to practice dentistry or dental hygiene on a short-term basis in Iowa at a specific location or locations to fulfill an urgent need, serve an educational purpose, or provide volunteer services. A temporary permit is not meant as a way to practice before a permanent license is granted or as a means to practice because the applicant does not fulfill the requirements for permanent licensure. A temporary permit may be granted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issue a temporary permit for a specified period up to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may be issued no more than two temporary permits to fulfill an urgent need or serve an educational purpose unless the request is prior-approved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permit expires, the need changes or the permit holder wishes to continue in short-term assignments in other Iowa locations, the permit holder will be required to apply for a new temporary permit or seek permanent licensure, except when volunteering dental services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temporary permit to provide volunteer services is restricted to free clinics or dental clinics for nonprofit organizations as described under Section 501(c)(3) of the Internal Revenue Code. Temporary permit holders will not receive compensation for dental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572.12(2)</w:t>
      </w:r>
      <w:r>
        <w:rPr>
          <w:rFonts w:ascii="Times New Roman" w:hAnsi="Times New Roman"/>
          <w:b w:val="false"/>
          <w:i w:val="false"/>
          <w:color w:val="000000"/>
          <w:sz w:val="22"/>
        </w:rPr>
        <w:t> </w:t>
      </w:r>
      <w:r>
        <w:rPr>
          <w:rFonts w:ascii="Times New Roman" w:hAnsi="Times New Roman"/>
          <w:b w:val="false"/>
          <w:i w:val="false"/>
          <w:color w:val="000000"/>
          <w:sz w:val="22"/>
        </w:rPr>
        <w:t>Applications for a temporary permit to fulfill an urgent need or serve an educational purpose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graduation with a DDS or DMD degree for applicants seeking a temporary permit to practice dentistry, or satisfactory evidence of graduation from an accredited dental hygiene school for applicants seeking a temporary permit to practice dental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temporary permit to fulfill an urgent need or serve an educational purpose as specified in </w:t>
      </w:r>
      <w:hyperlink r:id="rId78">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from the state board of dentistry, or equivalent authority, from a state in which the applicant has been licensed and practicing for at least three years immediately preceding the date of application. Applicants who have been the subject of final or pending disciplinary action may not be eligible for a temporary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that at least one license was issued on the basis of clinical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request from those individuals or organizations seeking the applicant’s services that establishes, to the board’s satisfaction, justification for the temporary permit, the dates the applicant’s services are needed, and the location or locations where those services will be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572.12(3)</w:t>
      </w:r>
      <w:r>
        <w:rPr>
          <w:rFonts w:ascii="Times New Roman" w:hAnsi="Times New Roman"/>
          <w:b w:val="false"/>
          <w:i w:val="false"/>
          <w:color w:val="000000"/>
          <w:sz w:val="22"/>
        </w:rPr>
        <w:t> </w:t>
      </w:r>
      <w:r>
        <w:rPr>
          <w:rFonts w:ascii="Times New Roman" w:hAnsi="Times New Roman"/>
          <w:b w:val="false"/>
          <w:i w:val="false"/>
          <w:color w:val="000000"/>
          <w:sz w:val="22"/>
        </w:rPr>
        <w:t>Applications for temporary permits to provide volunteer services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contact information of the applicant; the location of the free clinic or dental clinic for a nonprofit organization; and the dates on which the volunteer services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certification of license (or substantially similar document) from the appropriate licensing board of the applicant’s primary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detailed statement disclosing any pending disciplinary actions or criminal charges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from the applicant seeking the temporary permit that the applicant will practice only in a free dental clinic or dental clinic for a nonprofit organization and that the applicant will not receive compensation directly or indirectly for providing dental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9">
        <w:r>
          <w:rPr>
            <w:rStyle w:val="Hyperlink"/>
            <w:rFonts w:ascii="Times New Roman" w:hAnsi="Times New Roman"/>
            <w:b w:val="false"/>
            <w:i w:val="false"/>
            <w:color w:val="000000"/>
            <w:sz w:val="22"/>
          </w:rPr>
          <w:t>153.19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481—572.13</w:t>
      </w:r>
      <w:r>
        <w:rPr>
          <w:rFonts w:ascii="Times New Roman" w:hAnsi="Times New Roman"/>
          <w:b/>
          <w:i w:val="false"/>
          <w:color w:val="000000"/>
          <w:sz w:val="22"/>
        </w:rPr>
        <w:t xml:space="preserve">(153) </w:t>
      </w:r>
      <w:r>
        <w:rPr>
          <w:rFonts w:ascii="Times New Roman" w:hAnsi="Times New Roman"/>
          <w:b/>
          <w:i w:val="false"/>
          <w:color w:val="000000"/>
          <w:sz w:val="22"/>
        </w:rPr>
        <w:t xml:space="preserve">Retired volunteer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572.13(1)</w:t>
      </w:r>
      <w:r>
        <w:rPr>
          <w:rFonts w:ascii="Times New Roman" w:hAnsi="Times New Roman"/>
          <w:b w:val="false"/>
          <w:i w:val="false"/>
          <w:color w:val="000000"/>
          <w:sz w:val="22"/>
        </w:rPr>
        <w:t> </w:t>
      </w:r>
      <w:r>
        <w:rPr>
          <w:rFonts w:ascii="Times New Roman" w:hAnsi="Times New Roman"/>
          <w:b w:val="false"/>
          <w:i w:val="false"/>
          <w:color w:val="000000"/>
          <w:sz w:val="22"/>
        </w:rPr>
        <w:t>Upon application and qualification, the board may issue a retired volunteer license to a dentist or dental hygienist who has retired from the practice of dentistry or dental hygiene to enable the dentist or dental hygienist to provide volunteer dental or dental hygiene services without remuneration. A person holding a retired volunteer license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Cannot charge a fee or receive compensation in any form from any person or third-party payer, including but not limited to an insurance company, health plan, or state or federal benefit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Cannot prescribe, administer, or dispense prescription drugs and all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Comply with all rules and regulations governing the practice of dentistry or dental hygiene except those related to the payment of fees, license renewal, and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572.13(2)</w:t>
      </w:r>
      <w:r>
        <w:rPr>
          <w:rFonts w:ascii="Times New Roman" w:hAnsi="Times New Roman"/>
          <w:b w:val="false"/>
          <w:i w:val="false"/>
          <w:color w:val="000000"/>
          <w:sz w:val="22"/>
        </w:rPr>
        <w:t> </w:t>
      </w:r>
      <w:r>
        <w:rPr>
          <w:rFonts w:ascii="Times New Roman" w:hAnsi="Times New Roman"/>
          <w:b w:val="false"/>
          <w:i w:val="false"/>
          <w:color w:val="000000"/>
          <w:sz w:val="22"/>
        </w:rPr>
        <w:t>Applicants for a retired volunteer license are exempted from providing evidence of current CPR certification. Applications for retired volunteer licenses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that the applicant has retired from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Satisfactory evidence demonstrating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held an active dental or dental hygiene license within the previous five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possesses sufficient knowledge and skill to practice safely and competently if the applicant has not held an active dental or dental hygiene license within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572.13(3)</w:t>
      </w:r>
      <w:r>
        <w:rPr>
          <w:rFonts w:ascii="Times New Roman" w:hAnsi="Times New Roman"/>
          <w:b w:val="false"/>
          <w:i w:val="false"/>
          <w:color w:val="000000"/>
          <w:sz w:val="22"/>
        </w:rPr>
        <w:t> </w:t>
      </w:r>
      <w:r>
        <w:rPr>
          <w:rFonts w:ascii="Times New Roman" w:hAnsi="Times New Roman"/>
          <w:b w:val="false"/>
          <w:i w:val="false"/>
          <w:color w:val="000000"/>
          <w:sz w:val="22"/>
        </w:rPr>
        <w:t>The board will not charge an application or licensing fee for issuance of a retired volunteer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572.13(4)</w:t>
      </w:r>
      <w:r>
        <w:rPr>
          <w:rFonts w:ascii="Times New Roman" w:hAnsi="Times New Roman"/>
          <w:b w:val="false"/>
          <w:i w:val="false"/>
          <w:color w:val="000000"/>
          <w:sz w:val="22"/>
        </w:rPr>
        <w:t> </w:t>
      </w:r>
      <w:r>
        <w:rPr>
          <w:rFonts w:ascii="Times New Roman" w:hAnsi="Times New Roman"/>
          <w:b w:val="false"/>
          <w:i w:val="false"/>
          <w:color w:val="000000"/>
          <w:sz w:val="22"/>
        </w:rPr>
        <w:t>An applicant who has surrendered, resigned, converted, or allowed a license to lapse or expire as the result of or in lieu of disciplinary action is not eligible for a retired volunteer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572.13(5)</w:t>
      </w:r>
      <w:r>
        <w:rPr>
          <w:rFonts w:ascii="Times New Roman" w:hAnsi="Times New Roman"/>
          <w:b w:val="false"/>
          <w:i w:val="false"/>
          <w:color w:val="000000"/>
          <w:sz w:val="22"/>
        </w:rPr>
        <w:t> </w:t>
      </w:r>
      <w:r>
        <w:rPr>
          <w:rFonts w:ascii="Times New Roman" w:hAnsi="Times New Roman"/>
          <w:b w:val="false"/>
          <w:i w:val="false"/>
          <w:color w:val="000000"/>
          <w:sz w:val="22"/>
        </w:rPr>
        <w:t>A retired volunteer license is valid for 12 months from the date of issuance, at which time it expires and becomes invalid. A retired volunteer license holder whose license has become invalid is prohibited from the practice of dentistry or dental hygiene until a new retired volunteer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572.13(6)</w:t>
      </w:r>
      <w:r>
        <w:rPr>
          <w:rFonts w:ascii="Times New Roman" w:hAnsi="Times New Roman"/>
          <w:b w:val="false"/>
          <w:i w:val="false"/>
          <w:color w:val="000000"/>
          <w:sz w:val="22"/>
        </w:rPr>
        <w:t> </w:t>
      </w:r>
      <w:r>
        <w:rPr>
          <w:rFonts w:ascii="Times New Roman" w:hAnsi="Times New Roman"/>
          <w:b w:val="false"/>
          <w:i w:val="false"/>
          <w:color w:val="000000"/>
          <w:sz w:val="22"/>
        </w:rPr>
        <w:t>A retired volunteer license is not considered to be an active license to practice dentistry or dental hygiene and cannot be converted to any regular license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572.13(7)</w:t>
      </w:r>
      <w:r>
        <w:rPr>
          <w:rFonts w:ascii="Times New Roman" w:hAnsi="Times New Roman"/>
          <w:b w:val="false"/>
          <w:i w:val="false"/>
          <w:color w:val="000000"/>
          <w:sz w:val="22"/>
        </w:rPr>
        <w:t> </w:t>
      </w:r>
      <w:r>
        <w:rPr>
          <w:rFonts w:ascii="Times New Roman" w:hAnsi="Times New Roman"/>
          <w:b w:val="false"/>
          <w:i w:val="false"/>
          <w:color w:val="000000"/>
          <w:sz w:val="22"/>
        </w:rPr>
        <w:t>A person holding an inactive Iowa dental or dental hygiene license may also hold a retired volunteer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572.13(8)</w:t>
      </w:r>
      <w:r>
        <w:rPr>
          <w:rFonts w:ascii="Times New Roman" w:hAnsi="Times New Roman"/>
          <w:b w:val="false"/>
          <w:i w:val="false"/>
          <w:color w:val="000000"/>
          <w:sz w:val="22"/>
        </w:rPr>
        <w:t> </w:t>
      </w:r>
      <w:r>
        <w:rPr>
          <w:rFonts w:ascii="Times New Roman" w:hAnsi="Times New Roman"/>
          <w:b w:val="false"/>
          <w:i w:val="false"/>
          <w:color w:val="000000"/>
          <w:sz w:val="22"/>
        </w:rPr>
        <w:t>A person holding a retired volunteer license will notify the board of any change in name or home address within seven days of the change. A copy of a certified marriage license or copy of certified court documents is required for proof of a name change.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0">
        <w:r>
          <w:rPr>
            <w:rStyle w:val="Hyperlink"/>
            <w:rFonts w:ascii="Times New Roman" w:hAnsi="Times New Roman"/>
            <w:b w:val="false"/>
            <w:i w:val="false"/>
            <w:color w:val="000000"/>
            <w:sz w:val="22"/>
          </w:rPr>
          <w:t>153.23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481—572.14</w:t>
      </w:r>
      <w:r>
        <w:rPr>
          <w:rFonts w:ascii="Times New Roman" w:hAnsi="Times New Roman"/>
          <w:b/>
          <w:i w:val="false"/>
          <w:color w:val="000000"/>
          <w:sz w:val="22"/>
        </w:rPr>
        <w:t xml:space="preserve">(147,153) </w:t>
      </w:r>
      <w:r>
        <w:rPr>
          <w:rFonts w:ascii="Times New Roman" w:hAnsi="Times New Roman"/>
          <w:b/>
          <w:i w:val="false"/>
          <w:color w:val="000000"/>
          <w:sz w:val="22"/>
        </w:rPr>
        <w:t xml:space="preserve">Clinical examination required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81">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the board and dental hygiene committee will approve examinations for the purposes of licensure. Applicants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Examinees must meet the requirements for testing and follow procedures established by each respective testing agency. Examinees must take all parts offered by the respective testing agency, including the periodontal scaling component for dental examinees if offered by the testing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examinee must attain a passing score on each clinical and written portion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for licensure pursuant to rule </w:t>
      </w:r>
      <w:hyperlink r:id="rId82">
        <w:r>
          <w:rPr>
            <w:rStyle w:val="Hyperlink"/>
            <w:rFonts w:ascii="Times New Roman" w:hAnsi="Times New Roman"/>
            <w:b w:val="false"/>
            <w:i w:val="false"/>
            <w:color w:val="000000"/>
            <w:sz w:val="22"/>
          </w:rPr>
          <w:t>481—572.3</w:t>
        </w:r>
      </w:hyperlink>
      <w:r>
        <w:rPr>
          <w:rFonts w:ascii="Times New Roman" w:hAnsi="Times New Roman"/>
          <w:b w:val="false"/>
          <w:i w:val="false"/>
          <w:color w:val="000000"/>
          <w:sz w:val="22"/>
        </w:rPr>
        <w:t>(147,153) must provide evidence of successful completion of a board-approved clinical examination unless exempted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572.14(2)</w:t>
      </w:r>
      <w:r>
        <w:rPr>
          <w:rFonts w:ascii="Times New Roman" w:hAnsi="Times New Roman"/>
          <w:b w:val="false"/>
          <w:i w:val="false"/>
          <w:color w:val="000000"/>
          <w:sz w:val="22"/>
        </w:rPr>
        <w:t> </w:t>
      </w:r>
      <w:r>
        <w:rPr>
          <w:rFonts w:ascii="Times New Roman" w:hAnsi="Times New Roman"/>
          <w:b w:val="false"/>
          <w:i w:val="false"/>
          <w:color w:val="000000"/>
          <w:sz w:val="22"/>
        </w:rPr>
        <w:t>For the purposes of licensure, the board accepts patient-based and simulated clinical examinations administered by the testing agencies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Central Regional Dental Testing Service, Inc. (CRDTS);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CDCA-WREB-CITA, which was previously the Commission on Dental Competency Assessments (CDCA), the Western Regional Examining Board (WREB), and the Council of Interstate Testing Agencies, Inc. (CITA);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States Resources for Testing and Assessments (SRTA), previously known as the Southern Regional Testing Agency, Inc.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572.14(3)</w:t>
      </w:r>
      <w:r>
        <w:rPr>
          <w:rFonts w:ascii="Times New Roman" w:hAnsi="Times New Roman"/>
          <w:b w:val="false"/>
          <w:i w:val="false"/>
          <w:color w:val="000000"/>
          <w:sz w:val="22"/>
        </w:rPr>
        <w:t> </w:t>
      </w:r>
      <w:r>
        <w:rPr>
          <w:rFonts w:ascii="Times New Roman" w:hAnsi="Times New Roman"/>
          <w:b w:val="false"/>
          <w:i w:val="false"/>
          <w:color w:val="000000"/>
          <w:sz w:val="22"/>
        </w:rPr>
        <w:t>The board on its own motion may monitor or review any clinical examinations already approved by the board. Upon evidence that a clinical examination fails to satisfactorily demonstrate clinical competency to practice dentistry or dental hygiene, the board may revoke the approval of a clinical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572.14(4)</w:t>
      </w:r>
      <w:r>
        <w:rPr>
          <w:rFonts w:ascii="Times New Roman" w:hAnsi="Times New Roman"/>
          <w:b w:val="false"/>
          <w:i w:val="false"/>
          <w:color w:val="000000"/>
          <w:sz w:val="22"/>
        </w:rPr>
        <w:t> </w:t>
      </w:r>
      <w:r>
        <w:rPr>
          <w:rFonts w:ascii="Times New Roman" w:hAnsi="Times New Roman"/>
          <w:b w:val="false"/>
          <w:i w:val="false"/>
          <w:color w:val="000000"/>
          <w:sz w:val="22"/>
        </w:rPr>
        <w:t>For the purposes of counting examination failures, the board and dental hygiene committee may utilize policies adopted by each respective testing agency. An examinee will only need to retake those parts of the examination that the examinee failed. However, an examinee who has not passed all parts of the examination within the time frame specified by the testing agency may be required to retake the entire examination at the discretion of the testing agency. The examinee should refer to the policies of the testing agency to determine applicable standards and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572.14(5)</w:t>
      </w:r>
      <w:r>
        <w:rPr>
          <w:rFonts w:ascii="Times New Roman" w:hAnsi="Times New Roman"/>
          <w:b w:val="false"/>
          <w:i w:val="false"/>
          <w:color w:val="000000"/>
          <w:sz w:val="22"/>
        </w:rPr>
        <w:t> </w:t>
      </w:r>
      <w:r>
        <w:rPr>
          <w:rFonts w:ascii="Times New Roman" w:hAnsi="Times New Roman"/>
          <w:b w:val="false"/>
          <w:i w:val="false"/>
          <w:color w:val="000000"/>
          <w:sz w:val="22"/>
        </w:rPr>
        <w:t>Following a second or subsequent failure, an examinee must complete additional formal education or clinical experience at an accredited school or other program approved by the board. Ongoing education and training completed by the examinee prior to graduation from an accredited school will be accepted for the purposes of remediation. The applicant will provide evidence of remediation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third examination attempt, an examinee must complete additional formal education or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fourth examination attempt, an examinee must successfully complete a minimum of 40 hours of formal education or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subsequent examination attempts, an examinee must successfully complete a minimum of 40 hours of formal education or clinical experience following each failure.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572.14(6)</w:t>
      </w:r>
      <w:r>
        <w:rPr>
          <w:rFonts w:ascii="Times New Roman" w:hAnsi="Times New Roman"/>
          <w:b w:val="false"/>
          <w:i w:val="false"/>
          <w:color w:val="000000"/>
          <w:sz w:val="22"/>
        </w:rPr>
        <w:t> </w:t>
      </w:r>
      <w:r>
        <w:rPr>
          <w:rFonts w:ascii="Times New Roman" w:hAnsi="Times New Roman"/>
          <w:b w:val="false"/>
          <w:i w:val="false"/>
          <w:color w:val="000000"/>
          <w:sz w:val="22"/>
        </w:rPr>
        <w:t>If an examinee applies for an examination after having failed any other state or regional examination, the failure shall be counted for the purposes of retakes.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3">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147.36</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272C.13</w:t>
        </w:r>
      </w:hyperlink>
      <w:r>
        <w:rPr>
          <w:rFonts w:ascii="Times New Roman" w:hAnsi="Times New Roman"/>
          <w:b w:val="false"/>
          <w:i w:val="false"/>
          <w:color w:val="000000"/>
          <w:sz w:val="22"/>
        </w:rPr>
        <w:t xml:space="preserve"> and chapter </w:t>
      </w:r>
      <w:hyperlink r:id="rId8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481—572.15</w:t>
      </w:r>
      <w:r>
        <w:rPr>
          <w:rFonts w:ascii="Times New Roman" w:hAnsi="Times New Roman"/>
          <w:b/>
          <w:i w:val="false"/>
          <w:color w:val="000000"/>
          <w:sz w:val="22"/>
        </w:rPr>
        <w:t xml:space="preserve">(147,153) </w:t>
      </w:r>
      <w:r>
        <w:rPr>
          <w:rFonts w:ascii="Times New Roman" w:hAnsi="Times New Roman"/>
          <w:b/>
          <w:i w:val="false"/>
          <w:color w:val="000000"/>
          <w:sz w:val="22"/>
        </w:rPr>
        <w:t xml:space="preserve">Jurisprudence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572.15(1)</w:t>
      </w:r>
      <w:r>
        <w:rPr>
          <w:rFonts w:ascii="Times New Roman" w:hAnsi="Times New Roman"/>
          <w:b w:val="false"/>
          <w:i w:val="false"/>
          <w:color w:val="000000"/>
          <w:sz w:val="22"/>
        </w:rPr>
        <w:t> </w:t>
      </w:r>
      <w:r>
        <w:rPr>
          <w:rFonts w:ascii="Times New Roman" w:hAnsi="Times New Roman"/>
          <w:b w:val="false"/>
          <w:i w:val="false"/>
          <w:color w:val="000000"/>
          <w:sz w:val="22"/>
        </w:rPr>
        <w:t>An applicant for a dental or dental hygiene license, faculty permit, or registration as a dental assistant must successfully complete a board-approved examination in the area of Iowa jurisprudence with a minimum score of 75 percent. An examinee may be required to meet such other requirements as may be imposed by the board’s approved testing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572.15(2)</w:t>
      </w:r>
      <w:r>
        <w:rPr>
          <w:rFonts w:ascii="Times New Roman" w:hAnsi="Times New Roman"/>
          <w:b w:val="false"/>
          <w:i w:val="false"/>
          <w:color w:val="000000"/>
          <w:sz w:val="22"/>
        </w:rPr>
        <w:t> </w:t>
      </w:r>
      <w:r>
        <w:rPr>
          <w:rFonts w:ascii="Times New Roman" w:hAnsi="Times New Roman"/>
          <w:b w:val="false"/>
          <w:i w:val="false"/>
          <w:color w:val="000000"/>
          <w:sz w:val="22"/>
        </w:rPr>
        <w:t>The following examinations are approved for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Board-approved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Examinations administered by accredited schools or programs located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Board-approved continuing education courses that include a posttest examination and that have been approved by the board.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9">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147.36</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272C.13</w:t>
        </w:r>
      </w:hyperlink>
      <w:r>
        <w:rPr>
          <w:rFonts w:ascii="Times New Roman" w:hAnsi="Times New Roman"/>
          <w:b w:val="false"/>
          <w:i w:val="false"/>
          <w:color w:val="000000"/>
          <w:sz w:val="22"/>
        </w:rPr>
        <w:t xml:space="preserve"> and chapter </w:t>
      </w:r>
      <w:hyperlink r:id="rId94">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481—572.16</w:t>
      </w:r>
      <w:r>
        <w:rPr>
          <w:rFonts w:ascii="Times New Roman" w:hAnsi="Times New Roman"/>
          <w:b/>
          <w:i w:val="false"/>
          <w:color w:val="000000"/>
          <w:sz w:val="22"/>
        </w:rPr>
        <w:t xml:space="preserve">(147,153) </w:t>
      </w:r>
      <w:r>
        <w:rPr>
          <w:rFonts w:ascii="Times New Roman" w:hAnsi="Times New Roman"/>
          <w:b/>
          <w:i w:val="false"/>
          <w:color w:val="000000"/>
          <w:sz w:val="22"/>
        </w:rPr>
        <w:t xml:space="preserve">Examinations for registration or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572.16(1)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dental assistant registration must successfully complete examinations as required pursuant to rule </w:t>
      </w:r>
      <w:hyperlink r:id="rId95">
        <w:r>
          <w:rPr>
            <w:rStyle w:val="Hyperlink"/>
            <w:rFonts w:ascii="Times New Roman" w:hAnsi="Times New Roman"/>
            <w:b w:val="false"/>
            <w:i w:val="false"/>
            <w:color w:val="000000"/>
            <w:sz w:val="22"/>
          </w:rPr>
          <w:t>481—572.5</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572.16(2)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radiography qualification must successfully complete the examination as required pursuant to rule </w:t>
      </w:r>
      <w:hyperlink r:id="rId96">
        <w:r>
          <w:rPr>
            <w:rStyle w:val="Hyperlink"/>
            <w:rFonts w:ascii="Times New Roman" w:hAnsi="Times New Roman"/>
            <w:b w:val="false"/>
            <w:i w:val="false"/>
            <w:color w:val="000000"/>
            <w:sz w:val="22"/>
          </w:rPr>
          <w:t>481—572.6</w:t>
        </w:r>
      </w:hyperlink>
      <w:r>
        <w:rPr>
          <w:rFonts w:ascii="Times New Roman" w:hAnsi="Times New Roman"/>
          <w:b w:val="false"/>
          <w:i w:val="false"/>
          <w:color w:val="000000"/>
          <w:sz w:val="22"/>
        </w:rPr>
        <w:t>(136C,153).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572.16(3)</w:t>
      </w:r>
      <w:r>
        <w:rPr>
          <w:rFonts w:ascii="Times New Roman" w:hAnsi="Times New Roman"/>
          <w:b w:val="false"/>
          <w:i w:val="false"/>
          <w:color w:val="000000"/>
          <w:sz w:val="22"/>
        </w:rPr>
        <w:t> </w:t>
      </w:r>
      <w:r>
        <w:rPr>
          <w:rFonts w:ascii="Times New Roman" w:hAnsi="Times New Roman"/>
          <w:b w:val="false"/>
          <w:i w:val="false"/>
          <w:color w:val="000000"/>
          <w:sz w:val="22"/>
        </w:rPr>
        <w:t>An applicant may complete a single comprehensive examination or complete separate board-approved examinations in the required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examinations are approved for the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Board-approved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DANB’s Infection Control Examination (ICE);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DANB’s Radiation Health and Safety (RHS)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Examinations administered by accredited schools’ dental assisting programs;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Board-approved continuing education courses that include posttest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score of 75 percent or better on the board-approved examinations will be considered successful completion of the examination. The board also accepts the passing standard established by the DANB for applicants who take the ICE or RHS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examinee may be required to meet such other requirements as may be imposed by the board’s approved testing locations.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7">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147.36</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272C.13</w:t>
        </w:r>
      </w:hyperlink>
      <w:r>
        <w:rPr>
          <w:rFonts w:ascii="Times New Roman" w:hAnsi="Times New Roman"/>
          <w:b w:val="false"/>
          <w:i w:val="false"/>
          <w:color w:val="000000"/>
          <w:sz w:val="22"/>
        </w:rPr>
        <w:t xml:space="preserve"> and chapter </w:t>
      </w:r>
      <w:hyperlink r:id="rId102">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481—572.17</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Renewal of a license, permit, registration, or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572.17(1)</w:t>
      </w:r>
      <w:r>
        <w:rPr>
          <w:rFonts w:ascii="Times New Roman" w:hAnsi="Times New Roman"/>
          <w:b w:val="false"/>
          <w:i w:val="false"/>
          <w:color w:val="000000"/>
          <w:sz w:val="22"/>
        </w:rPr>
        <w:t> </w:t>
      </w:r>
      <w:r>
        <w:rPr>
          <w:rFonts w:ascii="Times New Roman" w:hAnsi="Times New Roman"/>
          <w:b w:val="false"/>
          <w:i w:val="false"/>
          <w:color w:val="000000"/>
          <w:sz w:val="22"/>
        </w:rPr>
        <w:t>To continue practicing in Iowa, a license, permit, registration, or qualification must be renewed prior to its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Dental hygiene licenses, local anesthesia permits, dental assistant registrations, and dental radiography qualifications expire on August 31 of every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Dental licenses, faculty permits, moderate sedation permits, and general anesthesia permits expire August 31 of every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572.17(2)</w:t>
      </w:r>
      <w:r>
        <w:rPr>
          <w:rFonts w:ascii="Times New Roman" w:hAnsi="Times New Roman"/>
          <w:b w:val="false"/>
          <w:i w:val="false"/>
          <w:color w:val="000000"/>
          <w:sz w:val="22"/>
        </w:rPr>
        <w:t> </w:t>
      </w:r>
      <w:r>
        <w:rPr>
          <w:rFonts w:ascii="Times New Roman" w:hAnsi="Times New Roman"/>
          <w:b w:val="false"/>
          <w:i w:val="false"/>
          <w:color w:val="000000"/>
          <w:sz w:val="22"/>
        </w:rPr>
        <w:t>The department will email a renewal notice to each licensee, registrant and permit holder at the most recent email address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registrant, or permit holder is responsible for successfully completing renewal prior to the license’s, registration’s or permit’s expiration. Failure to receive the renewal notice does not eliminate the responsibility for submitting a timely-filed renewal in order to continue practicing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applications are not considered timely and complete until received by the department and accompanied by all material required for renewal and all applicable fees. Incomplete applications will not be issued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572.17(3)</w:t>
      </w:r>
      <w:r>
        <w:rPr>
          <w:rFonts w:ascii="Times New Roman" w:hAnsi="Times New Roman"/>
          <w:b w:val="false"/>
          <w:i w:val="false"/>
          <w:color w:val="000000"/>
          <w:sz w:val="22"/>
        </w:rPr>
        <w:t> </w:t>
      </w:r>
      <w:r>
        <w:rPr>
          <w:rFonts w:ascii="Times New Roman" w:hAnsi="Times New Roman"/>
          <w:b w:val="false"/>
          <w:i w:val="false"/>
          <w:color w:val="000000"/>
          <w:sz w:val="22"/>
        </w:rPr>
        <w:t>Applications for renewal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fee, including a penalty for late renewal when applicable, as specified in </w:t>
      </w:r>
      <w:hyperlink r:id="rId103">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xml:space="preserve"> must accompany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registrants, and permit holders are required to complete continuing education in accordance with </w:t>
      </w:r>
      <w:hyperlink r:id="rId104">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 xml:space="preserve"> unless claiming a permissible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572.17(4)</w:t>
      </w:r>
      <w:r>
        <w:rPr>
          <w:rFonts w:ascii="Times New Roman" w:hAnsi="Times New Roman"/>
          <w:b w:val="false"/>
          <w:i w:val="false"/>
          <w:color w:val="000000"/>
          <w:sz w:val="22"/>
        </w:rPr>
        <w:t> </w:t>
      </w:r>
      <w:r>
        <w:rPr>
          <w:rFonts w:ascii="Times New Roman" w:hAnsi="Times New Roman"/>
          <w:b w:val="false"/>
          <w:i w:val="false"/>
          <w:color w:val="000000"/>
          <w:sz w:val="22"/>
        </w:rPr>
        <w:t>Iowa-licensed nurses applying for renewal of a radiography qualification are exempt from providing evidence of current CPR certification.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5">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147.25</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chapters </w:t>
      </w:r>
      <w:hyperlink r:id="rId108">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481—572.18</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Grounds for nonrenewal. </w:t>
      </w:r>
      <w:r>
        <w:rPr>
          <w:rFonts w:ascii="Times New Roman" w:hAnsi="Times New Roman"/>
          <w:b w:val="false"/>
          <w:i w:val="false"/>
          <w:color w:val="000000"/>
          <w:sz w:val="22"/>
        </w:rPr>
        <w:t>The board may refuse to renew a license, registration, permit or qualification on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572.18(1)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proper notice and hearing for a violation of these rules or Iowa Code chapter </w:t>
      </w:r>
      <w:hyperlink r:id="rId11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or </w:t>
      </w:r>
      <w:hyperlink r:id="rId1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572.18(2)</w:t>
      </w:r>
      <w:r>
        <w:rPr>
          <w:rFonts w:ascii="Times New Roman" w:hAnsi="Times New Roman"/>
          <w:b w:val="false"/>
          <w:i w:val="false"/>
          <w:color w:val="000000"/>
          <w:sz w:val="22"/>
        </w:rPr>
        <w:t> </w:t>
      </w:r>
      <w:r>
        <w:rPr>
          <w:rFonts w:ascii="Times New Roman" w:hAnsi="Times New Roman"/>
          <w:b w:val="false"/>
          <w:i w:val="false"/>
          <w:color w:val="000000"/>
          <w:sz w:val="22"/>
        </w:rPr>
        <w:t>Failure to pay required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572.18(3)</w:t>
      </w:r>
      <w:r>
        <w:rPr>
          <w:rFonts w:ascii="Times New Roman" w:hAnsi="Times New Roman"/>
          <w:b w:val="false"/>
          <w:i w:val="false"/>
          <w:color w:val="000000"/>
          <w:sz w:val="22"/>
        </w:rPr>
        <w:t> </w:t>
      </w:r>
      <w:r>
        <w:rPr>
          <w:rFonts w:ascii="Times New Roman" w:hAnsi="Times New Roman"/>
          <w:b w:val="false"/>
          <w:i w:val="false"/>
          <w:color w:val="000000"/>
          <w:sz w:val="22"/>
        </w:rPr>
        <w:t>Failure to obtain required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572.18(4)</w:t>
      </w:r>
      <w:r>
        <w:rPr>
          <w:rFonts w:ascii="Times New Roman" w:hAnsi="Times New Roman"/>
          <w:b w:val="false"/>
          <w:i w:val="false"/>
          <w:color w:val="000000"/>
          <w:sz w:val="22"/>
        </w:rPr>
        <w:t> </w:t>
      </w:r>
      <w:r>
        <w:rPr>
          <w:rFonts w:ascii="Times New Roman" w:hAnsi="Times New Roman"/>
          <w:b w:val="false"/>
          <w:i w:val="false"/>
          <w:color w:val="000000"/>
          <w:sz w:val="22"/>
        </w:rPr>
        <w:t>Failure to maintain current certification in CPR that includes a hands-on component, or ACLS or PALS certification when required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572.18(5)</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child support recovery unit of the department of health and human services in accordance with </w:t>
      </w:r>
      <w:hyperlink r:id="rId114">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5">
        <w:r>
          <w:rPr>
            <w:rStyle w:val="Hyperlink"/>
            <w:rFonts w:ascii="Times New Roman" w:hAnsi="Times New Roman"/>
            <w:b w:val="false"/>
            <w:i w:val="false"/>
            <w:color w:val="000000"/>
            <w:sz w:val="22"/>
          </w:rPr>
          <w:t>153.31</w:t>
        </w:r>
      </w:hyperlink>
      <w:r>
        <w:rPr>
          <w:rFonts w:ascii="Times New Roman" w:hAnsi="Times New Roman"/>
          <w:b w:val="false"/>
          <w:i w:val="false"/>
          <w:color w:val="000000"/>
          <w:sz w:val="22"/>
        </w:rPr>
        <w:t xml:space="preserve"> and chapters </w:t>
      </w:r>
      <w:hyperlink r:id="rId11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481—572.19</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Late renewal. </w:t>
      </w:r>
      <w:r>
        <w:rPr>
          <w:rFonts w:ascii="Times New Roman" w:hAnsi="Times New Roman"/>
          <w:b w:val="false"/>
          <w:i w:val="false"/>
          <w:color w:val="000000"/>
          <w:sz w:val="22"/>
        </w:rPr>
        <w:t xml:space="preserve">Failure to renew a license, permit, registration or qualification prior to the expiration date will result in the assessment of a late fee in the amount specified in </w:t>
      </w:r>
      <w:hyperlink r:id="rId119">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xml:space="preserve">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572.19(1)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renew prior to September 1 following expiration will result in the assessment of a late fee in the amount specified in </w:t>
      </w:r>
      <w:hyperlink r:id="rId120">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xml:space="preserve">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572.19(2)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renew prior to October 1 following expiration will result in the assessment of a late fee in the amount specified in </w:t>
      </w:r>
      <w:hyperlink r:id="rId121">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xml:space="preserve">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572.19(3)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renew prior to November 1 following expiration will cause the license, permit, registration, or qualification to lapse and become invalid. A licensee, permit holder, or registrant whose license, permit, registration, or qualification has lapsed is prohibited from the practice of dentistry, dental hygiene, dental assisting or dental radiography until the license, permit, registration or qualification is reinstated in accordance with rule </w:t>
      </w:r>
      <w:hyperlink r:id="rId122">
        <w:r>
          <w:rPr>
            <w:rStyle w:val="Hyperlink"/>
            <w:rFonts w:ascii="Times New Roman" w:hAnsi="Times New Roman"/>
            <w:b w:val="false"/>
            <w:i w:val="false"/>
            <w:color w:val="000000"/>
            <w:sz w:val="22"/>
          </w:rPr>
          <w:t>481—571.20</w:t>
        </w:r>
      </w:hyperlink>
      <w:r>
        <w:rPr>
          <w:rFonts w:ascii="Times New Roman" w:hAnsi="Times New Roman"/>
          <w:b w:val="false"/>
          <w:i w:val="false"/>
          <w:color w:val="000000"/>
          <w:sz w:val="22"/>
        </w:rPr>
        <w:t>(147,153,272C).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3">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24">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and </w:t>
      </w:r>
      <w:hyperlink r:id="rId12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481—572.20</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Reinstatement or reactivation of a lapsed license, permit, registration or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572.20(1)</w:t>
      </w:r>
      <w:r>
        <w:rPr>
          <w:rFonts w:ascii="Times New Roman" w:hAnsi="Times New Roman"/>
          <w:b w:val="false"/>
          <w:i w:val="false"/>
          <w:color w:val="000000"/>
          <w:sz w:val="22"/>
        </w:rPr>
        <w:t> </w:t>
      </w:r>
      <w:r>
        <w:rPr>
          <w:rFonts w:ascii="Times New Roman" w:hAnsi="Times New Roman"/>
          <w:b w:val="false"/>
          <w:i w:val="false"/>
          <w:color w:val="000000"/>
          <w:sz w:val="22"/>
        </w:rPr>
        <w:t>A lapsed license, permit, registration or qualification may be reactivated at the discretion of the board.  Applications for reactivation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a reactivation application fee plus one past-due renewal fee as specified in </w:t>
      </w:r>
      <w:hyperlink r:id="rId126">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reactivation of a lapsed dental or dental hygiene license, a completed criminal history background packet, including the fee as specified in </w:t>
      </w:r>
      <w:hyperlink r:id="rId127">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to facilitate a criminal history background check by the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completion of continuing education required for renewal in accordance with </w:t>
      </w:r>
      <w:hyperlink r:id="rId128">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 xml:space="preserve"> that has not been previously reported to the board, or evidence of the full- or part-time practice of the profession in another state, district or territory for a minimum of two years within the previous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licensed or registered in another state, district or territory, certification by the licensing authority of the license or registration status and that the licensee or registrant has not been the subject of final or pending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detailed statement disclosing any disciplinary actions, investigations, claims, complaints, judgments, settlements or criminal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29">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applicants for reinstatement, following the revocation, suspension, or acceptance of a voluntary surrender by this board, must comply with any additional stipulations issued by the board prior to the reactivation of the license, registration, permit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572.20(2)</w:t>
      </w:r>
      <w:r>
        <w:rPr>
          <w:rFonts w:ascii="Times New Roman" w:hAnsi="Times New Roman"/>
          <w:b w:val="false"/>
          <w:i w:val="false"/>
          <w:color w:val="000000"/>
          <w:sz w:val="22"/>
        </w:rPr>
        <w:t> </w:t>
      </w:r>
      <w:r>
        <w:rPr>
          <w:rFonts w:ascii="Times New Roman" w:hAnsi="Times New Roman"/>
          <w:b w:val="false"/>
          <w:i w:val="false"/>
          <w:color w:val="000000"/>
          <w:sz w:val="22"/>
        </w:rPr>
        <w:t>The board or dental hygiene committee may require a licensee or registrant who is applying for reactivation, and who has not actively practiced clinically within five years immediately preceding the date of application, to successfully complete a board-approved examination or assessment for the purpose of ensuring that the applicant possesses sufficient knowledge and skill to practice safely.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0">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31">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and </w:t>
      </w:r>
      <w:hyperlink r:id="rId132">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481—572.21</w:t>
      </w:r>
      <w:r>
        <w:rPr>
          <w:rFonts w:ascii="Times New Roman" w:hAnsi="Times New Roman"/>
          <w:b/>
          <w:i w:val="false"/>
          <w:color w:val="000000"/>
          <w:sz w:val="22"/>
        </w:rPr>
        <w:t xml:space="preserve">(136C,153) </w:t>
      </w:r>
      <w:r>
        <w:rPr>
          <w:rFonts w:ascii="Times New Roman" w:hAnsi="Times New Roman"/>
          <w:b/>
          <w:i w:val="false"/>
          <w:color w:val="000000"/>
          <w:sz w:val="22"/>
        </w:rPr>
        <w:t xml:space="preserve">Reactivation of lapsed radiography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572.21(1)</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dental assistant or licensed nurse whose radiography qualification has lapsed may have the radiography qualification reactivated at the discretion of the board. In addition to the application requirements specified in rule </w:t>
      </w:r>
      <w:hyperlink r:id="rId133">
        <w:r>
          <w:rPr>
            <w:rStyle w:val="Hyperlink"/>
            <w:rFonts w:ascii="Times New Roman" w:hAnsi="Times New Roman"/>
            <w:b w:val="false"/>
            <w:i w:val="false"/>
            <w:color w:val="000000"/>
            <w:sz w:val="22"/>
          </w:rPr>
          <w:t>481—572.20</w:t>
        </w:r>
      </w:hyperlink>
      <w:r>
        <w:rPr>
          <w:rFonts w:ascii="Times New Roman" w:hAnsi="Times New Roman"/>
          <w:b w:val="false"/>
          <w:i w:val="false"/>
          <w:color w:val="000000"/>
          <w:sz w:val="22"/>
        </w:rPr>
        <w:t>(147,153,272C), applicants for reactivation must also submit evidence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practice as a dental assistant or an Iowa nursing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radiography qualification has been lapsed for less than five years, a minimum of two hours of continuing education in the subject area of dental radiography, taken within the previous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radiography qualification has been lapsed for more than five years, the applicant has retaken and successfully completed a board-approved examination in dental radiography;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radiography qualification issued by another state, district or territory, and a statement detailing the clinical practice in dental radiography in that jurisdiction for a minimum of two years in the previous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572.21(2)</w:t>
      </w:r>
      <w:r>
        <w:rPr>
          <w:rFonts w:ascii="Times New Roman" w:hAnsi="Times New Roman"/>
          <w:b w:val="false"/>
          <w:i w:val="false"/>
          <w:color w:val="000000"/>
          <w:sz w:val="22"/>
        </w:rPr>
        <w:t> </w:t>
      </w:r>
      <w:r>
        <w:rPr>
          <w:rFonts w:ascii="Times New Roman" w:hAnsi="Times New Roman"/>
          <w:b w:val="false"/>
          <w:i w:val="false"/>
          <w:color w:val="000000"/>
          <w:sz w:val="22"/>
        </w:rPr>
        <w:t>Iowa-licensed nurses applying for reactivation of a radiography qualification are exempt from providing evidence of current CPR certification.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4">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35">
        <w:r>
          <w:rPr>
            <w:rStyle w:val="Hyperlink"/>
            <w:rFonts w:ascii="Times New Roman" w:hAnsi="Times New Roman"/>
            <w:b w:val="false"/>
            <w:i w:val="false"/>
            <w:color w:val="000000"/>
            <w:sz w:val="22"/>
          </w:rPr>
          <w:t>147.25</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chapters </w:t>
      </w:r>
      <w:hyperlink r:id="rId137">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3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481—572.22</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Grounds for action against a license, permit, registration or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572.22(1)</w:t>
      </w:r>
      <w:r>
        <w:rPr>
          <w:rFonts w:ascii="Times New Roman" w:hAnsi="Times New Roman"/>
          <w:b w:val="false"/>
          <w:i w:val="false"/>
          <w:color w:val="000000"/>
          <w:sz w:val="22"/>
        </w:rPr>
        <w:t> </w:t>
      </w:r>
      <w:r>
        <w:rPr>
          <w:rFonts w:ascii="Times New Roman" w:hAnsi="Times New Roman"/>
          <w:b w:val="false"/>
          <w:i w:val="false"/>
          <w:color w:val="000000"/>
          <w:sz w:val="22"/>
        </w:rPr>
        <w:t>Following review of an application, including applications for reinstatement or reactivation, the board may take action against a license, permit, registration or qualification if the board finds that any of the following apply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the subject of disciplinary action taken against a license or registration in another state, district, or territory, and the violations that resulted in such action would also be grounds for discipline in Iowa in accordance with </w:t>
      </w:r>
      <w:hyperlink r:id="rId140">
        <w:r>
          <w:rPr>
            <w:rStyle w:val="Hyperlink"/>
            <w:rFonts w:ascii="Times New Roman" w:hAnsi="Times New Roman"/>
            <w:b w:val="false"/>
            <w:i w:val="false"/>
            <w:color w:val="000000"/>
            <w:sz w:val="22"/>
          </w:rPr>
          <w:t>481—Chapter 581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to justify the need for a temporary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Practiced outside the scope of practice as permitted by Iowa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Found probable cause for any of the grounds for which licensure or registration may be subject to disciplinary action, including revocation or suspension, as specified in Iowa Code chapters </w:t>
      </w:r>
      <w:hyperlink r:id="rId14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42">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4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44">
        <w:r>
          <w:rPr>
            <w:rStyle w:val="Hyperlink"/>
            <w:rFonts w:ascii="Times New Roman" w:hAnsi="Times New Roman"/>
            <w:b w:val="false"/>
            <w:i w:val="false"/>
            <w:color w:val="000000"/>
            <w:sz w:val="22"/>
          </w:rPr>
          <w:t>481—Chapter 581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572.22(2)</w:t>
      </w:r>
      <w:r>
        <w:rPr>
          <w:rFonts w:ascii="Times New Roman" w:hAnsi="Times New Roman"/>
          <w:b w:val="false"/>
          <w:i w:val="false"/>
          <w:color w:val="000000"/>
          <w:sz w:val="22"/>
        </w:rPr>
        <w:t> </w:t>
      </w:r>
      <w:r>
        <w:rPr>
          <w:rFonts w:ascii="Times New Roman" w:hAnsi="Times New Roman"/>
          <w:b w:val="false"/>
          <w:i w:val="false"/>
          <w:color w:val="000000"/>
          <w:sz w:val="22"/>
        </w:rPr>
        <w:t>The board may take action against an applicant for license, permit, registration or qualification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applicable restrictions or sanctions pursuant to rule </w:t>
      </w:r>
      <w:hyperlink r:id="rId145">
        <w:r>
          <w:rPr>
            <w:rStyle w:val="Hyperlink"/>
            <w:rFonts w:ascii="Times New Roman" w:hAnsi="Times New Roman"/>
            <w:b w:val="false"/>
            <w:i w:val="false"/>
            <w:color w:val="000000"/>
            <w:sz w:val="22"/>
          </w:rPr>
          <w:t>481—581.1</w:t>
        </w:r>
      </w:hyperlink>
      <w:r>
        <w:rPr>
          <w:rFonts w:ascii="Times New Roman" w:hAnsi="Times New Roman"/>
          <w:b w:val="false"/>
          <w:i w:val="false"/>
          <w:color w:val="000000"/>
          <w:sz w:val="22"/>
        </w:rPr>
        <w:t>(147,153,272C) as a condition of licensure, permit, registration, qualification 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 a notice of intent to cancel a temporary permit or retired volunteer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Issue a notice of intent to deny issuance or reactivation of a license, permit, registration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Initiate disciplinary action against the license, permit, registration or qualification;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Initiate other confidential action as permitted by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572.22(3)</w:t>
      </w:r>
      <w:r>
        <w:rPr>
          <w:rFonts w:ascii="Times New Roman" w:hAnsi="Times New Roman"/>
          <w:b w:val="false"/>
          <w:i w:val="false"/>
          <w:color w:val="000000"/>
          <w:sz w:val="22"/>
        </w:rPr>
        <w:t> </w:t>
      </w:r>
      <w:r>
        <w:rPr>
          <w:rFonts w:ascii="Times New Roman" w:hAnsi="Times New Roman"/>
          <w:b w:val="false"/>
          <w:i w:val="false"/>
          <w:color w:val="000000"/>
          <w:sz w:val="22"/>
        </w:rPr>
        <w:t>If the board pursues formal action against an applicant pursuant to this rule, the board will promptly notify the applicant by certified mail at the applicant’s last-known address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14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shall govern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for appealing a decision of the board in a contested case is set forth in </w:t>
      </w:r>
      <w:hyperlink r:id="rId147">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4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49">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5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8986C</w:t>
      </w:r>
      <w:r>
        <w:rPr>
          <w:rFonts w:ascii="Times New Roman" w:hAnsi="Times New Roman"/>
          <w:b w:val="false"/>
          <w:i w:val="false"/>
          <w:color w:val="000000"/>
          <w:sz w:val="21"/>
        </w:rPr>
        <w:t xml:space="preserve"> (Notice ARC 8487C,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[Editorial change: IAC Supplement 1/7/26]</w:t>
      </w:r>
    </w:p>
    <w:p>
      <w:pPr>
        <w:spacing w:before="0" w:after="0"/>
        <w:ind w:left="120"/>
        <w:jc w:val="center"/>
      </w:pPr>
      <w:r>
        <w:rPr>
          <w:rFonts w:ascii="Times New Roman" w:hAnsi="Times New Roman"/>
          <w:b w:val="false"/>
          <w:i w:val="false"/>
          <w:color w:val="000000"/>
          <w:sz w:val="21"/>
        </w:rPr>
        <w:t>[Filed ARC 0247D</w:t>
      </w:r>
      <w:r>
        <w:rPr>
          <w:rFonts w:ascii="Times New Roman" w:hAnsi="Times New Roman"/>
          <w:b w:val="false"/>
          <w:i w:val="false"/>
          <w:color w:val="000000"/>
          <w:sz w:val="21"/>
        </w:rPr>
        <w:t xml:space="preserve"> (Amended Notice ARC 0071D, IAB 2/18/26; </w:t>
      </w:r>
      <w:r>
        <w:rPr>
          <w:rFonts w:ascii="Times New Roman" w:hAnsi="Times New Roman"/>
          <w:b w:val="false"/>
          <w:i w:val="false"/>
          <w:color w:val="000000"/>
          <w:sz w:val="21"/>
        </w:rPr>
        <w:t>Notice ARC 9785C, IAB 12/10/25)</w:t>
      </w:r>
      <w:r>
        <w:rPr>
          <w:rFonts w:ascii="Times New Roman" w:hAnsi="Times New Roman"/>
          <w:b w:val="false"/>
          <w:i w:val="false"/>
          <w:color w:val="000000"/>
          <w:sz w:val="21"/>
        </w:rPr>
        <w:t>, IAB 4/29/26, effective 6/3/26]</w:t>
      </w:r>
    </w:p>
    <w:sectPr>
      <w:footerReference r:id="rId15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71.pdf" Type="http://schemas.openxmlformats.org/officeDocument/2006/relationships/hyperlink" Id="rId5"/>
    <Relationship TargetMode="External" Target="https://www.legis.iowa.gov/docs/iac/chapter/481.571.pdf" Type="http://schemas.openxmlformats.org/officeDocument/2006/relationships/hyperlink" Id="rId6"/>
    <Relationship TargetMode="External" Target="https://www.legis.iowa.gov/docs/ico/chapter/147.2.pdf" Type="http://schemas.openxmlformats.org/officeDocument/2006/relationships/hyperlink" Id="rId7"/>
    <Relationship TargetMode="External" Target="https://www.legis.iowa.gov/docs/ico/chapter/147.11.pdf" Type="http://schemas.openxmlformats.org/officeDocument/2006/relationships/hyperlink" Id="rId8"/>
    <Relationship TargetMode="External" Target="https://www.legis.iowa.gov/docs/ico/chapter/272C.12.pdf" Type="http://schemas.openxmlformats.org/officeDocument/2006/relationships/hyperlink" Id="rId9"/>
    <Relationship TargetMode="External" Target="https://www.legis.iowa.gov/docs/ico/chapter/272C.12A.pdf" Type="http://schemas.openxmlformats.org/officeDocument/2006/relationships/hyperlink" Id="rId10"/>
    <Relationship TargetMode="External" Target="https://www.legis.iowa.gov/docs/ico/chapter/153.pdf" Type="http://schemas.openxmlformats.org/officeDocument/2006/relationships/hyperlink" Id="rId11"/>
    <Relationship TargetMode="External" Target="https://www.legis.iowa.gov/docs/ico/chapter/272C.15.pdf" Type="http://schemas.openxmlformats.org/officeDocument/2006/relationships/hyperlink" Id="rId12"/>
    <Relationship TargetMode="External" Target="https://www.legis.iowa.gov/docs/iac/rule/481.572.22.pdf" Type="http://schemas.openxmlformats.org/officeDocument/2006/relationships/hyperlink" Id="rId13"/>
    <Relationship TargetMode="External" Target="https://www.legis.iowa.gov/docs/ico/chapter/147.pdf" Type="http://schemas.openxmlformats.org/officeDocument/2006/relationships/hyperlink" Id="rId14"/>
    <Relationship TargetMode="External" Target="https://www.legis.iowa.gov/docs/ico/chapter/153.pdf" Type="http://schemas.openxmlformats.org/officeDocument/2006/relationships/hyperlink" Id="rId15"/>
    <Relationship TargetMode="External" Target="https://www.legis.iowa.gov/docs/ico/chapter/272C.pdf" Type="http://schemas.openxmlformats.org/officeDocument/2006/relationships/hyperlink" Id="rId16"/>
    <Relationship TargetMode="External" Target="https://www.legis.iowa.gov/docs/iac/rule/481.572.7.pdf" Type="http://schemas.openxmlformats.org/officeDocument/2006/relationships/hyperlink" Id="rId17"/>
    <Relationship TargetMode="External" Target="https://www.legis.iowa.gov/docs/iac/rule/481.572.4.pdf" Type="http://schemas.openxmlformats.org/officeDocument/2006/relationships/hyperlink" Id="rId18"/>
    <Relationship TargetMode="External" Target="https://www.legis.iowa.gov/docs/iac/rule/481.572.14.pdf" Type="http://schemas.openxmlformats.org/officeDocument/2006/relationships/hyperlink" Id="rId19"/>
    <Relationship TargetMode="External" Target="https://www.legis.iowa.gov/docs/iac/chapter/481.571.pdf" Type="http://schemas.openxmlformats.org/officeDocument/2006/relationships/hyperlink" Id="rId20"/>
    <Relationship TargetMode="External" Target="https://www.legis.iowa.gov/docs/iac/rule/481.572.15.pdf" Type="http://schemas.openxmlformats.org/officeDocument/2006/relationships/hyperlink" Id="rId21"/>
    <Relationship TargetMode="External" Target="https://www.legis.iowa.gov/docs/ico/chapter/153.21.pdf" Type="http://schemas.openxmlformats.org/officeDocument/2006/relationships/hyperlink" Id="rId22"/>
    <Relationship TargetMode="External" Target="https://www.legis.iowa.gov/docs/iac/rule/481.572.14.pdf" Type="http://schemas.openxmlformats.org/officeDocument/2006/relationships/hyperlink" Id="rId23"/>
    <Relationship TargetMode="External" Target="https://www.legis.iowa.gov/docs/ico/chapter/272C.12.pdf" Type="http://schemas.openxmlformats.org/officeDocument/2006/relationships/hyperlink" Id="rId24"/>
    <Relationship TargetMode="External" Target="https://www.legis.iowa.gov/docs/ico/chapter/147.pdf" Type="http://schemas.openxmlformats.org/officeDocument/2006/relationships/hyperlink" Id="rId25"/>
    <Relationship TargetMode="External" Target="https://www.legis.iowa.gov/docs/ico/chapter/153.pdf" Type="http://schemas.openxmlformats.org/officeDocument/2006/relationships/hyperlink" Id="rId26"/>
    <Relationship TargetMode="External" Target="https://www.legis.iowa.gov/docs/ico/chapter/272C.12.pdf" Type="http://schemas.openxmlformats.org/officeDocument/2006/relationships/hyperlink" Id="rId27"/>
    <Relationship TargetMode="External" Target="https://www.legis.iowa.gov/docs/iac/rule/481.572.3.pdf" Type="http://schemas.openxmlformats.org/officeDocument/2006/relationships/hyperlink" Id="rId28"/>
    <Relationship TargetMode="External" Target="https://www.legis.iowa.gov/docs/ico/chapter/272C.12.pdf" Type="http://schemas.openxmlformats.org/officeDocument/2006/relationships/hyperlink" Id="rId29"/>
    <Relationship TargetMode="External" Target="https://www.legis.iowa.gov/docs/ico/chapter/147.pdf" Type="http://schemas.openxmlformats.org/officeDocument/2006/relationships/hyperlink" Id="rId30"/>
    <Relationship TargetMode="External" Target="https://www.legis.iowa.gov/docs/ico/chapter/153.pdf" Type="http://schemas.openxmlformats.org/officeDocument/2006/relationships/hyperlink" Id="rId31"/>
    <Relationship TargetMode="External" Target="https://www.legis.iowa.gov/docs/iac/chapter/481.571.pdf" Type="http://schemas.openxmlformats.org/officeDocument/2006/relationships/hyperlink" Id="rId32"/>
    <Relationship TargetMode="External" Target="https://www.legis.iowa.gov/docs/iac/rule/481.572.15.pdf" Type="http://schemas.openxmlformats.org/officeDocument/2006/relationships/hyperlink" Id="rId33"/>
    <Relationship TargetMode="External" Target="https://www.legis.iowa.gov/docs/iac/rule/481.572.16.pdf" Type="http://schemas.openxmlformats.org/officeDocument/2006/relationships/hyperlink" Id="rId34"/>
    <Relationship TargetMode="External" Target="https://www.legis.iowa.gov/docs/iac/rule/481.572.6.pdf" Type="http://schemas.openxmlformats.org/officeDocument/2006/relationships/hyperlink" Id="rId35"/>
    <Relationship TargetMode="External" Target="https://www.legis.iowa.gov/docs/iac/rule/481.572.7.pdf" Type="http://schemas.openxmlformats.org/officeDocument/2006/relationships/hyperlink" Id="rId36"/>
    <Relationship TargetMode="External" Target="https://www.legis.iowa.gov/docs/ico/chapter/147.34.pdf" Type="http://schemas.openxmlformats.org/officeDocument/2006/relationships/hyperlink" Id="rId37"/>
    <Relationship TargetMode="External" Target="https://www.legis.iowa.gov/docs/ico/chapter/153.39.pdf" Type="http://schemas.openxmlformats.org/officeDocument/2006/relationships/hyperlink" Id="rId38"/>
    <Relationship TargetMode="External" Target="https://www.legis.iowa.gov/docs/ico/chapter/272C.12.pdf" Type="http://schemas.openxmlformats.org/officeDocument/2006/relationships/hyperlink" Id="rId39"/>
    <Relationship TargetMode="External" Target="https://www.legis.iowa.gov/docs/ico/chapter/153.pdf" Type="http://schemas.openxmlformats.org/officeDocument/2006/relationships/hyperlink" Id="rId40"/>
    <Relationship TargetMode="External" Target="https://www.legis.iowa.gov/docs/iac/chapter/481.571.pdf" Type="http://schemas.openxmlformats.org/officeDocument/2006/relationships/hyperlink" Id="rId41"/>
    <Relationship TargetMode="External" Target="https://www.legis.iowa.gov/docs/iac/rule/481.572.16.pdf" Type="http://schemas.openxmlformats.org/officeDocument/2006/relationships/hyperlink" Id="rId42"/>
    <Relationship TargetMode="External" Target="https://www.legis.iowa.gov/docs/ico/chapter/136C.3.pdf" Type="http://schemas.openxmlformats.org/officeDocument/2006/relationships/hyperlink" Id="rId43"/>
    <Relationship TargetMode="External" Target="https://www.legis.iowa.gov/docs/ico/chapter/153.39.pdf" Type="http://schemas.openxmlformats.org/officeDocument/2006/relationships/hyperlink" Id="rId44"/>
    <Relationship TargetMode="External" Target="https://www.legis.iowa.gov/docs/ico/chapter/272C.12.pdf" Type="http://schemas.openxmlformats.org/officeDocument/2006/relationships/hyperlink" Id="rId45"/>
    <Relationship TargetMode="External" Target="https://www.legis.iowa.gov/docs/iac/chapter/481.571.pdf" Type="http://schemas.openxmlformats.org/officeDocument/2006/relationships/hyperlink" Id="rId46"/>
    <Relationship TargetMode="External" Target="https://www.legis.iowa.gov/docs/ico/chapter/272C.12.pdf" Type="http://schemas.openxmlformats.org/officeDocument/2006/relationships/hyperlink" Id="rId47"/>
    <Relationship TargetMode="External" Target="https://www.legis.iowa.gov/docs/iac/rule/481.572.15.pdf" Type="http://schemas.openxmlformats.org/officeDocument/2006/relationships/hyperlink" Id="rId48"/>
    <Relationship TargetMode="External" Target="https://www.legis.iowa.gov/docs/iac/rule/481.574.2.pdf" Type="http://schemas.openxmlformats.org/officeDocument/2006/relationships/hyperlink" Id="rId49"/>
    <Relationship TargetMode="External" Target="https://www.legis.iowa.gov/docs/ico/chapter/272C.12.pdf" Type="http://schemas.openxmlformats.org/officeDocument/2006/relationships/hyperlink" Id="rId50"/>
    <Relationship TargetMode="External" Target="https://www.legis.iowa.gov/docs/iac/chapter/481.571.pdf" Type="http://schemas.openxmlformats.org/officeDocument/2006/relationships/hyperlink" Id="rId51"/>
    <Relationship TargetMode="External" Target="https://www.legis.iowa.gov/docs/iac/chapter/481.571.pdf" Type="http://schemas.openxmlformats.org/officeDocument/2006/relationships/hyperlink" Id="rId52"/>
    <Relationship TargetMode="External" Target="https://www.legis.iowa.gov/docs/ico/chapter/153.22.pdf" Type="http://schemas.openxmlformats.org/officeDocument/2006/relationships/hyperlink" Id="rId53"/>
    <Relationship TargetMode="External" Target="https://www.legis.iowa.gov/docs/iac/chapter/481.571.pdf" Type="http://schemas.openxmlformats.org/officeDocument/2006/relationships/hyperlink" Id="rId54"/>
    <Relationship TargetMode="External" Target="https://www.legis.iowa.gov/docs/iac/rule/481.572.15.pdf" Type="http://schemas.openxmlformats.org/officeDocument/2006/relationships/hyperlink" Id="rId55"/>
    <Relationship TargetMode="External" Target="https://www.legis.iowa.gov/docs/iac/rule/481.572.20.pdf" Type="http://schemas.openxmlformats.org/officeDocument/2006/relationships/hyperlink" Id="rId56"/>
    <Relationship TargetMode="External" Target="https://www.legis.iowa.gov/docs/iac/chapter/481.573.pdf" Type="http://schemas.openxmlformats.org/officeDocument/2006/relationships/hyperlink" Id="rId57"/>
    <Relationship TargetMode="External" Target="https://www.legis.iowa.gov/docs/ico/chapter/153.37.pdf" Type="http://schemas.openxmlformats.org/officeDocument/2006/relationships/hyperlink" Id="rId58"/>
    <Relationship TargetMode="External" Target="https://www.legis.iowa.gov/docs/iac/chapter/481.576.pdf" Type="http://schemas.openxmlformats.org/officeDocument/2006/relationships/hyperlink" Id="rId59"/>
    <Relationship TargetMode="External" Target="https://www.legis.iowa.gov/docs/iac/chapter/481.571.pdf" Type="http://schemas.openxmlformats.org/officeDocument/2006/relationships/hyperlink" Id="rId60"/>
    <Relationship TargetMode="External" Target="https://www.legis.iowa.gov/docs/iac/rule/481.572.14.pdf" Type="http://schemas.openxmlformats.org/officeDocument/2006/relationships/hyperlink" Id="rId61"/>
    <Relationship TargetMode="External" Target="https://www.legis.iowa.gov/docs/iac/chapter/481.571.pdf" Type="http://schemas.openxmlformats.org/officeDocument/2006/relationships/hyperlink" Id="rId62"/>
    <Relationship TargetMode="External" Target="https://www.legis.iowa.gov/docs/iac/chapter/481.571.pdf" Type="http://schemas.openxmlformats.org/officeDocument/2006/relationships/hyperlink" Id="rId63"/>
    <Relationship TargetMode="External" Target="https://www.legis.iowa.gov/docs/iac/rule/481.572.10.pdf" Type="http://schemas.openxmlformats.org/officeDocument/2006/relationships/hyperlink" Id="rId64"/>
    <Relationship TargetMode="External" Target="https://www.legis.iowa.gov/docs/ico/chapter/147.10.pdf" Type="http://schemas.openxmlformats.org/officeDocument/2006/relationships/hyperlink" Id="rId65"/>
    <Relationship TargetMode="External" Target="https://www.legis.iowa.gov/docs/ico/chapter/147.80.pdf" Type="http://schemas.openxmlformats.org/officeDocument/2006/relationships/hyperlink" Id="rId66"/>
    <Relationship TargetMode="External" Target="https://www.legis.iowa.gov/docs/ico/chapter/153.pdf" Type="http://schemas.openxmlformats.org/officeDocument/2006/relationships/hyperlink" Id="rId67"/>
    <Relationship TargetMode="External" Target="https://www.legis.iowa.gov/docs/iac/chapter/481.579.pdf" Type="http://schemas.openxmlformats.org/officeDocument/2006/relationships/hyperlink" Id="rId68"/>
    <Relationship TargetMode="External" Target="https://www.legis.iowa.gov/docs/iac/chapter/481.571.pdf" Type="http://schemas.openxmlformats.org/officeDocument/2006/relationships/hyperlink" Id="rId69"/>
    <Relationship TargetMode="External" Target="https://www.legis.iowa.gov/docs/iac/chapter/481.579.pdf" Type="http://schemas.openxmlformats.org/officeDocument/2006/relationships/hyperlink" Id="rId70"/>
    <Relationship TargetMode="External" Target="https://www.legis.iowa.gov/docs/iac/chapter/481.579.pdf" Type="http://schemas.openxmlformats.org/officeDocument/2006/relationships/hyperlink" Id="rId71"/>
    <Relationship TargetMode="External" Target="https://www.legis.iowa.gov/docs/iac/rule/481.572.22.pdf" Type="http://schemas.openxmlformats.org/officeDocument/2006/relationships/hyperlink" Id="rId72"/>
    <Relationship TargetMode="External" Target="https://www.legis.iowa.gov/docs/iac/chapter/481.571.pdf" Type="http://schemas.openxmlformats.org/officeDocument/2006/relationships/hyperlink" Id="rId73"/>
    <Relationship TargetMode="External" Target="https://www.legis.iowa.gov/docs/ico/chapter/147.10.pdf" Type="http://schemas.openxmlformats.org/officeDocument/2006/relationships/hyperlink" Id="rId74"/>
    <Relationship TargetMode="External" Target="https://www.legis.iowa.gov/docs/ico/chapter/147.11.pdf" Type="http://schemas.openxmlformats.org/officeDocument/2006/relationships/hyperlink" Id="rId75"/>
    <Relationship TargetMode="External" Target="https://www.legis.iowa.gov/docs/ico/chapter/272C.3.pdf" Type="http://schemas.openxmlformats.org/officeDocument/2006/relationships/hyperlink" Id="rId76"/>
    <Relationship TargetMode="External" Target="https://www.legis.iowa.gov/docs/ico/chapter/153.pdf" Type="http://schemas.openxmlformats.org/officeDocument/2006/relationships/hyperlink" Id="rId77"/>
    <Relationship TargetMode="External" Target="https://www.legis.iowa.gov/docs/iac/chapter/481.571.pdf" Type="http://schemas.openxmlformats.org/officeDocument/2006/relationships/hyperlink" Id="rId78"/>
    <Relationship TargetMode="External" Target="https://www.legis.iowa.gov/docs/ico/chapter/153.19.pdf" Type="http://schemas.openxmlformats.org/officeDocument/2006/relationships/hyperlink" Id="rId79"/>
    <Relationship TargetMode="External" Target="https://www.legis.iowa.gov/docs/ico/chapter/153.23.pdf" Type="http://schemas.openxmlformats.org/officeDocument/2006/relationships/hyperlink" Id="rId80"/>
    <Relationship TargetMode="External" Target="https://www.legis.iowa.gov/docs/ico/chapter/147.34.pdf" Type="http://schemas.openxmlformats.org/officeDocument/2006/relationships/hyperlink" Id="rId81"/>
    <Relationship TargetMode="External" Target="https://www.legis.iowa.gov/docs/iac/rule/481.572.3.pdf" Type="http://schemas.openxmlformats.org/officeDocument/2006/relationships/hyperlink" Id="rId82"/>
    <Relationship TargetMode="External" Target="https://www.legis.iowa.gov/docs/ico/chapter/147.34.pdf" Type="http://schemas.openxmlformats.org/officeDocument/2006/relationships/hyperlink" Id="rId83"/>
    <Relationship TargetMode="External" Target="https://www.legis.iowa.gov/docs/ico/chapter/147.36.pdf" Type="http://schemas.openxmlformats.org/officeDocument/2006/relationships/hyperlink" Id="rId84"/>
    <Relationship TargetMode="External" Target="https://www.legis.iowa.gov/docs/ico/chapter/272C.3.pdf" Type="http://schemas.openxmlformats.org/officeDocument/2006/relationships/hyperlink" Id="rId85"/>
    <Relationship TargetMode="External" Target="https://www.legis.iowa.gov/docs/ico/chapter/272C.9.pdf" Type="http://schemas.openxmlformats.org/officeDocument/2006/relationships/hyperlink" Id="rId86"/>
    <Relationship TargetMode="External" Target="https://www.legis.iowa.gov/docs/ico/chapter/272C.13.pdf" Type="http://schemas.openxmlformats.org/officeDocument/2006/relationships/hyperlink" Id="rId87"/>
    <Relationship TargetMode="External" Target="https://www.legis.iowa.gov/docs/ico/chapter/153.pdf" Type="http://schemas.openxmlformats.org/officeDocument/2006/relationships/hyperlink" Id="rId88"/>
    <Relationship TargetMode="External" Target="https://www.legis.iowa.gov/docs/ico/chapter/147.34.pdf" Type="http://schemas.openxmlformats.org/officeDocument/2006/relationships/hyperlink" Id="rId89"/>
    <Relationship TargetMode="External" Target="https://www.legis.iowa.gov/docs/ico/chapter/147.36.pdf" Type="http://schemas.openxmlformats.org/officeDocument/2006/relationships/hyperlink" Id="rId90"/>
    <Relationship TargetMode="External" Target="https://www.legis.iowa.gov/docs/ico/chapter/272C.3.pdf" Type="http://schemas.openxmlformats.org/officeDocument/2006/relationships/hyperlink" Id="rId91"/>
    <Relationship TargetMode="External" Target="https://www.legis.iowa.gov/docs/ico/chapter/272C.9.pdf" Type="http://schemas.openxmlformats.org/officeDocument/2006/relationships/hyperlink" Id="rId92"/>
    <Relationship TargetMode="External" Target="https://www.legis.iowa.gov/docs/ico/chapter/272C.13.pdf" Type="http://schemas.openxmlformats.org/officeDocument/2006/relationships/hyperlink" Id="rId93"/>
    <Relationship TargetMode="External" Target="https://www.legis.iowa.gov/docs/ico/chapter/153.pdf" Type="http://schemas.openxmlformats.org/officeDocument/2006/relationships/hyperlink" Id="rId94"/>
    <Relationship TargetMode="External" Target="https://www.legis.iowa.gov/docs/iac/rule/481.572.5.pdf" Type="http://schemas.openxmlformats.org/officeDocument/2006/relationships/hyperlink" Id="rId95"/>
    <Relationship TargetMode="External" Target="https://www.legis.iowa.gov/docs/iac/rule/481.572.6.pdf" Type="http://schemas.openxmlformats.org/officeDocument/2006/relationships/hyperlink" Id="rId96"/>
    <Relationship TargetMode="External" Target="https://www.legis.iowa.gov/docs/ico/chapter/147.34.pdf" Type="http://schemas.openxmlformats.org/officeDocument/2006/relationships/hyperlink" Id="rId97"/>
    <Relationship TargetMode="External" Target="https://www.legis.iowa.gov/docs/ico/chapter/147.36.pdf" Type="http://schemas.openxmlformats.org/officeDocument/2006/relationships/hyperlink" Id="rId98"/>
    <Relationship TargetMode="External" Target="https://www.legis.iowa.gov/docs/ico/chapter/272C.3.pdf" Type="http://schemas.openxmlformats.org/officeDocument/2006/relationships/hyperlink" Id="rId99"/>
    <Relationship TargetMode="External" Target="https://www.legis.iowa.gov/docs/ico/chapter/272C.9.pdf" Type="http://schemas.openxmlformats.org/officeDocument/2006/relationships/hyperlink" Id="rId100"/>
    <Relationship TargetMode="External" Target="https://www.legis.iowa.gov/docs/ico/chapter/272C.13.pdf" Type="http://schemas.openxmlformats.org/officeDocument/2006/relationships/hyperlink" Id="rId101"/>
    <Relationship TargetMode="External" Target="https://www.legis.iowa.gov/docs/ico/chapter/153.pdf" Type="http://schemas.openxmlformats.org/officeDocument/2006/relationships/hyperlink" Id="rId102"/>
    <Relationship TargetMode="External" Target="https://www.legis.iowa.gov/docs/iac/chapter/481.571.pdf" Type="http://schemas.openxmlformats.org/officeDocument/2006/relationships/hyperlink" Id="rId103"/>
    <Relationship TargetMode="External" Target="https://www.legis.iowa.gov/docs/iac/chapter/481.573.pdf" Type="http://schemas.openxmlformats.org/officeDocument/2006/relationships/hyperlink" Id="rId104"/>
    <Relationship TargetMode="External" Target="https://www.legis.iowa.gov/docs/ico/chapter/147.10.pdf" Type="http://schemas.openxmlformats.org/officeDocument/2006/relationships/hyperlink" Id="rId105"/>
    <Relationship TargetMode="External" Target="https://www.legis.iowa.gov/docs/ico/chapter/147.25.pdf" Type="http://schemas.openxmlformats.org/officeDocument/2006/relationships/hyperlink" Id="rId106"/>
    <Relationship TargetMode="External" Target="https://www.legis.iowa.gov/docs/ico/chapter/147.80.pdf" Type="http://schemas.openxmlformats.org/officeDocument/2006/relationships/hyperlink" Id="rId107"/>
    <Relationship TargetMode="External" Target="https://www.legis.iowa.gov/docs/ico/chapter/136C.pdf" Type="http://schemas.openxmlformats.org/officeDocument/2006/relationships/hyperlink" Id="rId108"/>
    <Relationship TargetMode="External" Target="https://www.legis.iowa.gov/docs/ico/chapter/153.pdf" Type="http://schemas.openxmlformats.org/officeDocument/2006/relationships/hyperlink" Id="rId109"/>
    <Relationship TargetMode="External" Target="https://www.legis.iowa.gov/docs/ico/chapter/272C.pdf" Type="http://schemas.openxmlformats.org/officeDocument/2006/relationships/hyperlink" Id="rId110"/>
    <Relationship TargetMode="External" Target="https://www.legis.iowa.gov/docs/ico/chapter/147.pdf" Type="http://schemas.openxmlformats.org/officeDocument/2006/relationships/hyperlink" Id="rId111"/>
    <Relationship TargetMode="External" Target="https://www.legis.iowa.gov/docs/ico/chapter/153.pdf" Type="http://schemas.openxmlformats.org/officeDocument/2006/relationships/hyperlink" Id="rId112"/>
    <Relationship TargetMode="External" Target="https://www.legis.iowa.gov/docs/ico/chapter/272C.pdf" Type="http://schemas.openxmlformats.org/officeDocument/2006/relationships/hyperlink" Id="rId113"/>
    <Relationship TargetMode="External" Target="https://www.legis.iowa.gov/docs/iac/chapter/481.8.pdf" Type="http://schemas.openxmlformats.org/officeDocument/2006/relationships/hyperlink" Id="rId114"/>
    <Relationship TargetMode="External" Target="https://www.legis.iowa.gov/docs/ico/chapter/153.31.pdf" Type="http://schemas.openxmlformats.org/officeDocument/2006/relationships/hyperlink" Id="rId115"/>
    <Relationship TargetMode="External" Target="https://www.legis.iowa.gov/docs/ico/chapter/147.pdf" Type="http://schemas.openxmlformats.org/officeDocument/2006/relationships/hyperlink" Id="rId116"/>
    <Relationship TargetMode="External" Target="https://www.legis.iowa.gov/docs/ico/chapter/252J.pdf" Type="http://schemas.openxmlformats.org/officeDocument/2006/relationships/hyperlink" Id="rId117"/>
    <Relationship TargetMode="External" Target="https://www.legis.iowa.gov/docs/ico/chapter/272C.pdf" Type="http://schemas.openxmlformats.org/officeDocument/2006/relationships/hyperlink" Id="rId118"/>
    <Relationship TargetMode="External" Target="https://www.legis.iowa.gov/docs/iac/chapter/481.571.pdf" Type="http://schemas.openxmlformats.org/officeDocument/2006/relationships/hyperlink" Id="rId119"/>
    <Relationship TargetMode="External" Target="https://www.legis.iowa.gov/docs/iac/chapter/481.571.pdf" Type="http://schemas.openxmlformats.org/officeDocument/2006/relationships/hyperlink" Id="rId120"/>
    <Relationship TargetMode="External" Target="https://www.legis.iowa.gov/docs/iac/chapter/481.571.pdf" Type="http://schemas.openxmlformats.org/officeDocument/2006/relationships/hyperlink" Id="rId121"/>
    <Relationship TargetMode="External" Target="https://www.legis.iowa.gov/docs/iac/rule/481.571.20.pdf" Type="http://schemas.openxmlformats.org/officeDocument/2006/relationships/hyperlink" Id="rId122"/>
    <Relationship TargetMode="External" Target="https://www.legis.iowa.gov/docs/ico/chapter/147.10.pdf" Type="http://schemas.openxmlformats.org/officeDocument/2006/relationships/hyperlink" Id="rId123"/>
    <Relationship TargetMode="External" Target="https://www.legis.iowa.gov/docs/ico/chapter/147.11.pdf" Type="http://schemas.openxmlformats.org/officeDocument/2006/relationships/hyperlink" Id="rId124"/>
    <Relationship TargetMode="External" Target="https://www.legis.iowa.gov/docs/ico/chapter/272C.2.pdf" Type="http://schemas.openxmlformats.org/officeDocument/2006/relationships/hyperlink" Id="rId125"/>
    <Relationship TargetMode="External" Target="https://www.legis.iowa.gov/docs/iac/chapter/481.571.pdf" Type="http://schemas.openxmlformats.org/officeDocument/2006/relationships/hyperlink" Id="rId126"/>
    <Relationship TargetMode="External" Target="https://www.legis.iowa.gov/docs/iac/chapter/481.571.pdf" Type="http://schemas.openxmlformats.org/officeDocument/2006/relationships/hyperlink" Id="rId127"/>
    <Relationship TargetMode="External" Target="https://www.legis.iowa.gov/docs/iac/chapter/481.573.pdf" Type="http://schemas.openxmlformats.org/officeDocument/2006/relationships/hyperlink" Id="rId128"/>
    <Relationship TargetMode="External" Target="https://www.legis.iowa.gov/docs/ico/chapter/147.11.pdf" Type="http://schemas.openxmlformats.org/officeDocument/2006/relationships/hyperlink" Id="rId129"/>
    <Relationship TargetMode="External" Target="https://www.legis.iowa.gov/docs/ico/chapter/147.10.pdf" Type="http://schemas.openxmlformats.org/officeDocument/2006/relationships/hyperlink" Id="rId130"/>
    <Relationship TargetMode="External" Target="https://www.legis.iowa.gov/docs/ico/chapter/147.11.pdf" Type="http://schemas.openxmlformats.org/officeDocument/2006/relationships/hyperlink" Id="rId131"/>
    <Relationship TargetMode="External" Target="https://www.legis.iowa.gov/docs/ico/chapter/272C.2.pdf" Type="http://schemas.openxmlformats.org/officeDocument/2006/relationships/hyperlink" Id="rId132"/>
    <Relationship TargetMode="External" Target="https://www.legis.iowa.gov/docs/iac/rule/481.572.20.pdf" Type="http://schemas.openxmlformats.org/officeDocument/2006/relationships/hyperlink" Id="rId133"/>
    <Relationship TargetMode="External" Target="https://www.legis.iowa.gov/docs/ico/chapter/147.10.pdf" Type="http://schemas.openxmlformats.org/officeDocument/2006/relationships/hyperlink" Id="rId134"/>
    <Relationship TargetMode="External" Target="https://www.legis.iowa.gov/docs/ico/chapter/147.25.pdf" Type="http://schemas.openxmlformats.org/officeDocument/2006/relationships/hyperlink" Id="rId135"/>
    <Relationship TargetMode="External" Target="https://www.legis.iowa.gov/docs/ico/chapter/147.80.pdf" Type="http://schemas.openxmlformats.org/officeDocument/2006/relationships/hyperlink" Id="rId136"/>
    <Relationship TargetMode="External" Target="https://www.legis.iowa.gov/docs/ico/chapter/136C.pdf" Type="http://schemas.openxmlformats.org/officeDocument/2006/relationships/hyperlink" Id="rId137"/>
    <Relationship TargetMode="External" Target="https://www.legis.iowa.gov/docs/ico/chapter/153.pdf" Type="http://schemas.openxmlformats.org/officeDocument/2006/relationships/hyperlink" Id="rId138"/>
    <Relationship TargetMode="External" Target="https://www.legis.iowa.gov/docs/ico/chapter/272C.pdf" Type="http://schemas.openxmlformats.org/officeDocument/2006/relationships/hyperlink" Id="rId139"/>
    <Relationship TargetMode="External" Target="https://www.legis.iowa.gov/docs/iac/chapter/481.581.pdf" Type="http://schemas.openxmlformats.org/officeDocument/2006/relationships/hyperlink" Id="rId140"/>
    <Relationship TargetMode="External" Target="https://www.legis.iowa.gov/docs/ico/chapter/147.pdf" Type="http://schemas.openxmlformats.org/officeDocument/2006/relationships/hyperlink" Id="rId141"/>
    <Relationship TargetMode="External" Target="https://www.legis.iowa.gov/docs/ico/chapter/153.pdf" Type="http://schemas.openxmlformats.org/officeDocument/2006/relationships/hyperlink" Id="rId142"/>
    <Relationship TargetMode="External" Target="https://www.legis.iowa.gov/docs/ico/chapter/272C.pdf" Type="http://schemas.openxmlformats.org/officeDocument/2006/relationships/hyperlink" Id="rId143"/>
    <Relationship TargetMode="External" Target="https://www.legis.iowa.gov/docs/iac/chapter/481.581.pdf" Type="http://schemas.openxmlformats.org/officeDocument/2006/relationships/hyperlink" Id="rId144"/>
    <Relationship TargetMode="External" Target="https://www.legis.iowa.gov/docs/iac/rule/481.581.1.pdf" Type="http://schemas.openxmlformats.org/officeDocument/2006/relationships/hyperlink" Id="rId145"/>
    <Relationship TargetMode="External" Target="https://www.legis.iowa.gov/docs/iac/chapter/481.506.pdf" Type="http://schemas.openxmlformats.org/officeDocument/2006/relationships/hyperlink" Id="rId146"/>
    <Relationship TargetMode="External" Target="https://www.legis.iowa.gov/docs/iac/chapter/481.506.pdf" Type="http://schemas.openxmlformats.org/officeDocument/2006/relationships/hyperlink" Id="rId147"/>
    <Relationship TargetMode="External" Target="https://www.legis.iowa.gov/docs/ico/chapter/147.pdf" Type="http://schemas.openxmlformats.org/officeDocument/2006/relationships/hyperlink" Id="rId148"/>
    <Relationship TargetMode="External" Target="https://www.legis.iowa.gov/docs/ico/chapter/153.pdf" Type="http://schemas.openxmlformats.org/officeDocument/2006/relationships/hyperlink" Id="rId149"/>
    <Relationship TargetMode="External" Target="https://www.legis.iowa.gov/docs/ico/chapter/272C.pdf" Type="http://schemas.openxmlformats.org/officeDocument/2006/relationships/hyperlink" Id="rId150"/>
    <Relationship Target="footer.xml" Type="http://schemas.openxmlformats.org/officeDocument/2006/relationships/footer" Id="rId15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