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RESIDENTIAL CARE FACILITIES</w:t>
      </w:r>
    </w:p>
    <w:p>
      <w:pPr>
        <w:spacing w:before="0" w:after="0"/>
        <w:ind w:left="120"/>
        <w:jc w:val="center"/>
      </w:pPr>
      <w:r>
        <w:rPr>
          <w:rFonts w:ascii="Times New Roman" w:hAnsi="Times New Roman"/>
          <w:b w:val="false"/>
          <w:i w:val="false"/>
          <w:color w:val="000000"/>
          <w:sz w:val="20"/>
        </w:rPr>
        <w:t>[Prior to 7/15/87, Health Department[470] Ch 57]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481—57.1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w:t>
      </w:r>
      <w:hyperlink r:id="rId5">
        <w:r>
          <w:rPr>
            <w:rStyle w:val="Hyperlink"/>
            <w:rFonts w:ascii="Times New Roman" w:hAnsi="Times New Roman"/>
            <w:b w:val="false"/>
            <w:i w:val="false"/>
            <w:color w:val="000000"/>
            <w:sz w:val="22"/>
          </w:rPr>
          <w:t>481—Chapter 62</w:t>
        </w:r>
      </w:hyperlink>
      <w:r>
        <w:rPr>
          <w:rFonts w:ascii="Times New Roman" w:hAnsi="Times New Roman"/>
          <w:b w:val="false"/>
          <w:i w:val="false"/>
          <w:color w:val="000000"/>
          <w:sz w:val="22"/>
        </w:rPr>
        <w:t xml:space="preserve">. The definitions set out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 person approved by the department who administers, manages, supervises, and is in general administrative charge of a residential care facility, whether or not such person has an ownership interest in the facility, and whether or not the functions and duties are shared with one or more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licensed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within a person’s body of a virus or microbial agent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containing contiguous rooms within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the daily fee that is charged for all residents equally and that includes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residency agreement required in rule </w:t>
      </w:r>
      <w:hyperlink r:id="rId7">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w:t>
      </w:r>
      <w:r>
        <w:rPr>
          <w:rFonts w:ascii="Times New Roman" w:hAnsi="Times New Roman"/>
          <w:b/>
          <w:i w:val="false"/>
          <w:color w:val="000000"/>
          <w:sz w:val="22"/>
        </w:rPr>
        <w:t xml:space="preserve">(135C,17A)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waiver from these rules may be granted by the director of the department in accordance with </w:t>
      </w:r>
      <w:hyperlink r:id="rId8">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 request for waiver will be granted or denied by the director within 120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licensing—new facility or change of ownership. </w:t>
      </w:r>
      <w:r>
        <w:rPr>
          <w:rFonts w:ascii="Times New Roman" w:hAnsi="Times New Roman"/>
          <w:b w:val="false"/>
          <w:i w:val="false"/>
          <w:color w:val="000000"/>
          <w:sz w:val="22"/>
        </w:rPr>
        <w:t>In order to obtain an initial residential care facility license for a facility not currently licensed as a residential care facility or for a residential care facility when a change of ownership is contemplated,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Application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9">
        <w:r>
          <w:rPr>
            <w:rStyle w:val="Hyperlink"/>
            <w:rFonts w:ascii="Times New Roman" w:hAnsi="Times New Roman"/>
            <w:b w:val="false"/>
            <w:i w:val="false"/>
            <w:color w:val="000000"/>
            <w:sz w:val="22"/>
          </w:rPr>
          <w:t>481—Chapters 50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60</w:t>
        </w:r>
      </w:hyperlink>
      <w:r>
        <w:rPr>
          <w:rFonts w:ascii="Times New Roman" w:hAnsi="Times New Roman"/>
          <w:b w:val="false"/>
          <w:i w:val="false"/>
          <w:color w:val="000000"/>
          <w:sz w:val="22"/>
        </w:rPr>
        <w:t xml:space="preserve">. Exceptions noted in </w:t>
      </w:r>
      <w:hyperlink r:id="rId12">
        <w:r>
          <w:rPr>
            <w:rStyle w:val="Hyperlink"/>
            <w:rFonts w:ascii="Times New Roman" w:hAnsi="Times New Roman"/>
            <w:b w:val="false"/>
            <w:i w:val="false"/>
            <w:color w:val="000000"/>
            <w:sz w:val="22"/>
          </w:rPr>
          <w:t>481—subrule 60.3(2)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letter of intent and a written résumé of care. The résumé of care shall meet the requirements of subrule </w:t>
      </w:r>
      <w:hyperlink r:id="rId13">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residential care facility. The floor plan of each floor shall be drawn on 8½" × 11" paper, show room areas in proportion, room dimensions, window and door locations, designation of the use of each room, and the room numbers for all rooms, including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of the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The résumé of care shall describe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Ownership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and responsibilities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Qualifications and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residents, to include the availability of emergency medical services in the area and the designation of a primary care provider to be responsible for residents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Dental services provided to residents and available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Nursing services provided to residents,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services provided to residents, including supervision of or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Activity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Dietary services, including qualifications of the person in charge, consultation service (if applicable)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as applicable, including social services, physical therapy,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Physical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Staffing provided to meet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residential care facility license, 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30 days prior to the annual license renewal date of the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statutory license fee for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current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to the résumé of care,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to the current residency agreement,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w:t>
      </w:r>
      <w:r>
        <w:rPr>
          <w:rFonts w:ascii="Times New Roman" w:hAnsi="Times New Roman"/>
          <w:b/>
          <w:i w:val="false"/>
          <w:color w:val="000000"/>
          <w:sz w:val="22"/>
        </w:rPr>
        <w:t xml:space="preserve">(135C) </w:t>
      </w:r>
      <w:r>
        <w:rPr>
          <w:rFonts w:ascii="Times New Roman" w:hAnsi="Times New Roman"/>
          <w:b/>
          <w:i w:val="false"/>
          <w:color w:val="000000"/>
          <w:sz w:val="22"/>
        </w:rPr>
        <w:t xml:space="preserve">Issuance of license. </w:t>
      </w:r>
      <w:r>
        <w:rPr>
          <w:rFonts w:ascii="Times New Roman" w:hAnsi="Times New Roman"/>
          <w:b w:val="false"/>
          <w:i w:val="false"/>
          <w:color w:val="000000"/>
          <w:sz w:val="22"/>
        </w:rPr>
        <w:t>Licenses are issued to the person, entity or governmental unit with responsibility for the operation of the facility and for compliance with all applicable statutes,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 contiguous rooms, and provide separate categories of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care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w:t>
      </w:r>
      <w:r>
        <w:rPr>
          <w:rFonts w:ascii="Times New Roman" w:hAnsi="Times New Roman"/>
          <w:b w:val="false"/>
          <w:i w:val="false"/>
          <w:color w:val="000000"/>
          <w:sz w:val="22"/>
        </w:rPr>
        <w:t> </w:t>
      </w:r>
      <w:r>
        <w:rPr>
          <w:rFonts w:ascii="Times New Roman" w:hAnsi="Times New Roman"/>
          <w:b w:val="false"/>
          <w:i/>
          <w:color w:val="000000"/>
          <w:sz w:val="22"/>
        </w:rPr>
        <w:t xml:space="preserve">Memory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residents who require memory care in a distinct part of the facility or designate the entire residential care facility as one that provides memory care. Residents in the memory care unit or facility shall meet the level of care requirements for a residential care facility. “Memory care” in a residential care facility means the care of persons with early Alzheimer’s-type dementia or other disorders causing dementia.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16">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Life Safety Code and any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 xml:space="preserve">A résumé of care shall be submitted to the department for approval at least 30 days before a separate memory care unit or facility is opened. For facilities with a memory care unit, this résumé of care is in addition to the résumé of care required by subrule </w:t>
      </w:r>
      <w:hyperlink r:id="rId17">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philosophy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criteria for transfer to and from the memory care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memory care unit or facility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memory care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Safety procedures shall also explain steps to be taken when a resident is discovered to be missing from the unit or facility and when hazardous cleaning materials or potentially dangerous mechanical equipment is being used in the unit or facility and explain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unit or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memory care unit or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All staff working in a memory care unit or facility shall have training appropriate to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all staff working in the unit or facility shall be oriented to the needs of residents requiring memory care. Staff members shall have at least six hours of special training appropriate to their job descriptions within 30 days of assignment to the unit or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shall include the following topics: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 including symptoms, behavior and disease progression;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Skills in providing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Techniques for cueing, simplifying,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staff, certified medication aides, medication managers, social services personnel, housekeeping and activity personnel shall have a minimum of six hours of in-service training annually. This training shall be related to the needs of memory care residents. The six-hour initial training required in subparagraph </w:t>
      </w:r>
      <w:hyperlink r:id="rId18">
        <w:r>
          <w:rPr>
            <w:rStyle w:val="Hyperlink"/>
            <w:rFonts w:ascii="Times New Roman" w:hAnsi="Times New Roman"/>
            <w:b w:val="false"/>
            <w:i w:val="false"/>
            <w:color w:val="000000"/>
            <w:sz w:val="22"/>
          </w:rPr>
          <w:t>57.6(1)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There shall be at least one staff person on a memory care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Others living in the memory care unit. </w:t>
      </w:r>
      <w:r>
        <w:rPr>
          <w:rFonts w:ascii="Times New Roman" w:hAnsi="Times New Roman"/>
          <w:b w:val="false"/>
          <w:i w:val="false"/>
          <w:color w:val="000000"/>
          <w:sz w:val="22"/>
        </w:rPr>
        <w:t>A resident not requiring memory care services may live in the memory care unit if the resident’s spouse requiring memory care services lives in the unit or if no other beds are available in the facility and the resident or the resident’s legal representative consents in writing to the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memory care unit license or facility license may be revoked, suspended or denied pursuant to Iowa Code chapter </w:t>
      </w:r>
      <w:hyperlink r:id="rId1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w:t>
      </w:r>
      <w:r>
        <w:rPr>
          <w:rFonts w:ascii="Times New Roman" w:hAnsi="Times New Roman"/>
          <w:b w:val="false"/>
          <w:i w:val="false"/>
          <w:color w:val="000000"/>
          <w:sz w:val="22"/>
        </w:rPr>
        <w:t> </w:t>
      </w:r>
      <w:r>
        <w:rPr>
          <w:rFonts w:ascii="Times New Roman" w:hAnsi="Times New Roman"/>
          <w:b w:val="false"/>
          <w:i/>
          <w:color w:val="000000"/>
          <w:sz w:val="22"/>
        </w:rPr>
        <w:t xml:space="preserve">Residential care facility for persons with an intellectual disability (RCF/ID).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the following term shall have the meaning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disability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physician associate, registered nurse, educator, social worker, physical or occupational therapist, speech therapist or audiologist who meets the educational requirements for the profession, as required in the state of Iowa, and has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persons with an intellectual disability in a distinct part of the facility or designate the entire residential care facility as a residential care facility for persons with an intellectual disability. Residents shall meet the level of care requirements for a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21">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A résumé of care shall be submitted to the department for approval at least 30 days before a residential care facility for persons with an intellectual disability is opened.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residential care facility for persons with an intellectual disability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residential care facility for persons with an intellectual disability. The policy shall require a primary diagnosis of an intellectual disability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Administrator qualifications. </w:t>
      </w:r>
      <w:r>
        <w:rPr>
          <w:rFonts w:ascii="Times New Roman" w:hAnsi="Times New Roman"/>
          <w:b w:val="false"/>
          <w:i w:val="false"/>
          <w:color w:val="000000"/>
          <w:sz w:val="22"/>
        </w:rPr>
        <w:t xml:space="preserve">In addition to meeting the requirements of </w:t>
      </w:r>
      <w:hyperlink r:id="rId22">
        <w:r>
          <w:rPr>
            <w:rStyle w:val="Hyperlink"/>
            <w:rFonts w:ascii="Times New Roman" w:hAnsi="Times New Roman"/>
            <w:b w:val="false"/>
            <w:i w:val="false"/>
            <w:color w:val="000000"/>
            <w:sz w:val="22"/>
          </w:rPr>
          <w:t>subrule 57.10(1)</w:t>
        </w:r>
      </w:hyperlink>
      <w:r>
        <w:rPr>
          <w:rFonts w:ascii="Times New Roman" w:hAnsi="Times New Roman"/>
          <w:b w:val="false"/>
          <w:i w:val="false"/>
          <w:color w:val="000000"/>
          <w:sz w:val="22"/>
        </w:rPr>
        <w:t>, the administrator of a residential care facility for persons with an intellectual disability shall have at least one year’s documented experience in direct care or supervision of persons with an intellectual disability. 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In-service educational programming. </w:t>
      </w:r>
      <w:r>
        <w:rPr>
          <w:rFonts w:ascii="Times New Roman" w:hAnsi="Times New Roman"/>
          <w:b w:val="false"/>
          <w:i w:val="false"/>
          <w:color w:val="000000"/>
          <w:sz w:val="22"/>
        </w:rPr>
        <w:t xml:space="preserve">The in-service educational programming required by </w:t>
      </w:r>
      <w:hyperlink r:id="rId23">
        <w:r>
          <w:rPr>
            <w:rStyle w:val="Hyperlink"/>
            <w:rFonts w:ascii="Times New Roman" w:hAnsi="Times New Roman"/>
            <w:b w:val="false"/>
            <w:i w:val="false"/>
            <w:color w:val="000000"/>
            <w:sz w:val="22"/>
          </w:rPr>
          <w:t>paragraph 57.10(2)</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include educational programming specific to serving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facility license may be revoked, suspended or denied pursuant to Iowa Code chapter </w:t>
      </w:r>
      <w:hyperlink r:id="rId2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135C.2(3)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accessible to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w:t>
      </w:r>
      <w:r>
        <w:rPr>
          <w:rFonts w:ascii="Times New Roman" w:hAnsi="Times New Roman"/>
          <w:b w:val="false"/>
          <w:i w:val="false"/>
          <w:color w:val="000000"/>
          <w:sz w:val="22"/>
        </w:rPr>
        <w:t> </w:t>
      </w:r>
      <w:r>
        <w:rPr>
          <w:rFonts w:ascii="Times New Roman" w:hAnsi="Times New Roman"/>
          <w:b w:val="false"/>
          <w:i w:val="false"/>
          <w:color w:val="000000"/>
          <w:sz w:val="22"/>
        </w:rPr>
        <w:t>The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an organized continuous 24-hour program of care commensurate with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57.7(6)</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Certified volunteer long-term care ombudsman program. </w:t>
      </w:r>
      <w:r>
        <w:rPr>
          <w:rFonts w:ascii="Times New Roman" w:hAnsi="Times New Roman"/>
          <w:b w:val="false"/>
          <w:i w:val="false"/>
          <w:color w:val="000000"/>
          <w:sz w:val="22"/>
        </w:rPr>
        <w:t xml:space="preserve">A certified volunteer long-term care ombudsman appointed in accordance with Iowa Code section </w:t>
      </w:r>
      <w:hyperlink r:id="rId28">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 xml:space="preserve"> shall operate within the scope of the rules for volunteer ombudsmen promulgated by the office of the long-term care ombudsman and the Iowa department on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notifications to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residential care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beginning of the renovation, addition, functional alteration, change of space utilization, or conversion in the residential care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w:t>
      </w:r>
      <w:r>
        <w:rPr>
          <w:rFonts w:ascii="Times New Roman" w:hAnsi="Times New Roman"/>
          <w:b w:val="false"/>
          <w:i w:val="false"/>
          <w:color w:val="000000"/>
          <w:sz w:val="22"/>
        </w:rPr>
        <w:t> </w:t>
      </w:r>
      <w:r>
        <w:rPr>
          <w:rFonts w:ascii="Times New Roman" w:hAnsi="Times New Roman"/>
          <w:b w:val="false"/>
          <w:i w:val="false"/>
          <w:color w:val="000000"/>
          <w:sz w:val="22"/>
        </w:rPr>
        <w:t>Thirty days before closure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w:t>
      </w:r>
      <w:r>
        <w:rPr>
          <w:rFonts w:ascii="Times New Roman" w:hAnsi="Times New Roman"/>
          <w:b w:val="false"/>
          <w:i w:val="false"/>
          <w:color w:val="000000"/>
          <w:sz w:val="22"/>
        </w:rPr>
        <w:t> </w:t>
      </w:r>
      <w:r>
        <w:rPr>
          <w:rFonts w:ascii="Times New Roman" w:hAnsi="Times New Roman"/>
          <w:b w:val="false"/>
          <w:i w:val="false"/>
          <w:color w:val="000000"/>
          <w:sz w:val="22"/>
        </w:rPr>
        <w:t>Ninety days before a change in the category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w:t>
      </w:r>
      <w:r>
        <w:rPr>
          <w:rFonts w:ascii="Times New Roman" w:hAnsi="Times New Roman"/>
          <w:b w:val="false"/>
          <w:i w:val="false"/>
          <w:color w:val="000000"/>
          <w:sz w:val="22"/>
        </w:rPr>
        <w:t> </w:t>
      </w:r>
      <w:r>
        <w:rPr>
          <w:rFonts w:ascii="Times New Roman" w:hAnsi="Times New Roman"/>
          <w:b w:val="false"/>
          <w:i w:val="false"/>
          <w:color w:val="000000"/>
          <w:sz w:val="22"/>
        </w:rPr>
        <w:t>Thirty days before a change of ownership,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all information of whatever kind from the department’s files concerning the licensee’s residential care facility to the named prospective purchaser, transferee, assignee, or lessee.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481—57.10</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residential care facility shall have one person in charge, duly approved by the department or acting in a provisional capacity in accordance with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have a high school diploma or equivalent. (III) In addition, this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two-year degree in human services, psychology, sociology, nursing, health care administration, public administration, or a related field and have a minimum of two years’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four-year degree in human services, psychology, sociology, nursing, health care administration, public administration, or a related field and have a minimum of one year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and have a minimum of one year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completed a one-year educational training program approved by the department for residential care facility administrators;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passed the National Association of Long Term Care Administrator Boards (NAB) RC/AL administrator licensure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two years of direct care experience and at least six months of administrative experience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employed as an administrator on January 14, 2015,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57.10(2)</w:t>
      </w:r>
      <w:r>
        <w:rPr>
          <w:rFonts w:ascii="Times New Roman" w:hAnsi="Times New Roman"/>
          <w:b w:val="false"/>
          <w:i w:val="false"/>
          <w:color w:val="000000"/>
          <w:sz w:val="22"/>
        </w:rPr>
        <w:t> </w:t>
      </w:r>
      <w:r>
        <w:rPr>
          <w:rFonts w:ascii="Times New Roman" w:hAnsi="Times New Roman"/>
          <w:b w:val="false"/>
          <w:i/>
          <w:color w:val="000000"/>
          <w:sz w:val="22"/>
        </w:rPr>
        <w:t xml:space="preserve">Duties of an administrator.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residential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Arrange for the heads of nursing, social services, dietary and activities to attend a minimum of ten contact hours of educational programs per year to increase skills and knowledge needed for their positions. The ten hours is in addition to the in-service requirements in paragraph </w:t>
      </w:r>
      <w:hyperlink r:id="rId29">
        <w:r>
          <w:rPr>
            <w:rStyle w:val="Hyperlink"/>
            <w:rFonts w:ascii="Times New Roman" w:hAnsi="Times New Roman"/>
            <w:b w:val="false"/>
            <w:i w:val="false"/>
            <w:color w:val="000000"/>
            <w:sz w:val="22"/>
          </w:rPr>
          <w:t>57.10(2)</w:t>
        </w:r>
        <w:r>
          <w:rPr>
            <w:rFonts w:ascii="Times New Roman" w:hAnsi="Times New Roman"/>
            <w:b w:val="false"/>
            <w:i/>
            <w:color w:val="000000"/>
            <w:sz w:val="22"/>
          </w:rPr>
          <w:t>“c.”</w:t>
        </w:r>
      </w:hyperlink>
      <w:r>
        <w:rPr>
          <w:rFonts w:ascii="Times New Roman" w:hAnsi="Times New Roman"/>
          <w:b w:val="false"/>
          <w:i w:val="false"/>
          <w:color w:val="000000"/>
          <w:sz w:val="22"/>
        </w:rPr>
        <w:t xml:space="preserv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in-service educational programming for all employees with direct resident contact and maintain records of programs and participants. (III) In-service educational programming offered during each calendar year shall include, at minimum, the following topics: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(fire, tornado, flood, 911,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 time procedures/dietary.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Mental illness/behavior modification/crisis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safety/supervision.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education, to include administration, storage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service plans/programming/goals.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57.10(3)</w:t>
      </w:r>
      <w:r>
        <w:rPr>
          <w:rFonts w:ascii="Times New Roman" w:hAnsi="Times New Roman"/>
          <w:b w:val="false"/>
          <w:i w:val="false"/>
          <w:color w:val="000000"/>
          <w:sz w:val="22"/>
        </w:rPr>
        <w:t> </w:t>
      </w:r>
      <w:r>
        <w:rPr>
          <w:rFonts w:ascii="Times New Roman" w:hAnsi="Times New Roman"/>
          <w:b w:val="false"/>
          <w:i/>
          <w:color w:val="000000"/>
          <w:sz w:val="22"/>
        </w:rPr>
        <w:t xml:space="preserve">Administrator serving at more than one residential care facility.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shall designate in writing an administrative staff person in each facility who shall be responsible for directing programs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designated by 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at least one year of experience in a supervisory or direct care position in a residential care facility or in a facility for the intellectually disabled, mentally ill or developmentally disabled;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empowered to act on behalf of the licensee concerning the health, safety and welfare of the residents; and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the administrator must designate in writing regular and specific times during which the administrator will be available to consult with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residential care facility licensee to assume the administrative responsibilities for a residential care facility for a period not to exceed one year when the facility has lost its administrator and has not been able to replace the administrator, provided that the department has been notified and approved the provisional administrator prior to the date of the provisional administrator’s appointment. (III) The provisional administrator must meet the requirements of paragraph </w:t>
      </w:r>
      <w:hyperlink r:id="rId30">
        <w:r>
          <w:rPr>
            <w:rStyle w:val="Hyperlink"/>
            <w:rFonts w:ascii="Times New Roman" w:hAnsi="Times New Roman"/>
            <w:b w:val="false"/>
            <w:i w:val="false"/>
            <w:color w:val="000000"/>
            <w:sz w:val="22"/>
          </w:rPr>
          <w:t>57.10(3)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57.10(5)</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temporary absence of the administrator, a responsible person shall be designated in writing to the department to be in charge of the facility. (III) 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is absent for more than six weeks, a provisional administrator must be appointed pursuant to subrule </w:t>
      </w:r>
      <w:hyperlink r:id="rId31">
        <w:r>
          <w:rPr>
            <w:rStyle w:val="Hyperlink"/>
            <w:rFonts w:ascii="Times New Roman" w:hAnsi="Times New Roman"/>
            <w:b w:val="false"/>
            <w:i w:val="false"/>
            <w:color w:val="000000"/>
            <w:sz w:val="22"/>
          </w:rPr>
          <w:t>57.10(4)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color w:val="000000"/>
          <w:sz w:val="22"/>
        </w:rPr>
        <w:t xml:space="preserve">Alcohol and drug use prohibited. </w:t>
      </w:r>
      <w:r>
        <w:rPr>
          <w:rFonts w:ascii="Times New Roman" w:hAnsi="Times New Roman"/>
          <w:b w:val="false"/>
          <w:i w:val="false"/>
          <w:color w:val="000000"/>
          <w:sz w:val="22"/>
        </w:rPr>
        <w:t>No person under the influence of intoxicating drugs or alcoholic beverages shall be permitted to provide services in a residential care facility.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w:t>
      </w:r>
      <w:r>
        <w:rPr>
          <w:rFonts w:ascii="Times New Roman" w:hAnsi="Times New Roman"/>
          <w:b w:val="false"/>
          <w:i w:val="false"/>
          <w:color w:val="000000"/>
          <w:sz w:val="22"/>
        </w:rPr>
        <w:t>There shall be a written job description developed for each category of worker. The job description shall include the job title, responsibilities and qualifications.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32">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chapter 1040</w:t>
      </w:r>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57.11(4)</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r>
        <w:rPr>
          <w:rFonts w:ascii="Times New Roman" w:hAnsi="Times New Roman"/>
          <w:b w:val="false"/>
          <w:i w:val="false"/>
          <w:color w:val="000000"/>
          <w:sz w:val="22"/>
        </w:rPr>
        <w:t>A personnel record shall be kept for each employee and shall include but not be limited to the following information about the employee: name and address, social security number, date of birth, date of employment, position, experience and education, references, results of criminal record checks, child abuse checks and dependent adult abuse checks, and date of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57.11(5)</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staff to meet the needs of the residents served.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 residential care facility shall provide 24-hour coverage for residential care services. Personnel shall be awake at all times while on duty.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present in the facility unless all residents are involved in activities away from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shall be aware of and provide supervision levels based on the present needs of the residents in the staff’s care. The facility shall document the supervision of residents who require more than general supervision, as defined by facility policy.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an accurate record of actual hours worked by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57.11(6)</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and screening. </w:t>
      </w:r>
      <w:r>
        <w:rPr>
          <w:rFonts w:ascii="Times New Roman" w:hAnsi="Times New Roman"/>
          <w:b w:val="false"/>
          <w:i w:val="false"/>
          <w:color w:val="000000"/>
          <w:sz w:val="22"/>
        </w:rPr>
        <w:t xml:space="preserve">Employees shall have a physical examination no longer than 12 months prior to beginning employment and every four years thereafter. Screening and testing for tuberculosis shall be conducted pursuant to </w:t>
      </w:r>
      <w:hyperlink r:id="rId34">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57.11(7)</w:t>
      </w:r>
      <w:r>
        <w:rPr>
          <w:rFonts w:ascii="Times New Roman" w:hAnsi="Times New Roman"/>
          <w:b w:val="false"/>
          <w:i w:val="false"/>
          <w:color w:val="000000"/>
          <w:sz w:val="22"/>
        </w:rPr>
        <w:t> </w:t>
      </w:r>
      <w:r>
        <w:rPr>
          <w:rFonts w:ascii="Times New Roman" w:hAnsi="Times New Roman"/>
          <w:b w:val="false"/>
          <w:i/>
          <w:color w:val="000000"/>
          <w:sz w:val="22"/>
        </w:rPr>
        <w:t xml:space="preserve">Orders for medications and treatments. </w:t>
      </w:r>
      <w:r>
        <w:rPr>
          <w:rFonts w:ascii="Times New Roman" w:hAnsi="Times New Roman"/>
          <w:b w:val="false"/>
          <w:i w:val="false"/>
          <w:color w:val="000000"/>
          <w:sz w:val="22"/>
        </w:rPr>
        <w:t>Orders for medications and treatments shall be correctly implemented by qualified personnel.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2273C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r>
        <w:rPr>
          <w:rFonts w:ascii="Times New Roman" w:hAnsi="Times New Roman"/>
          <w:b w:val="false"/>
          <w:i w:val="false"/>
          <w:color w:val="000000"/>
          <w:sz w:val="22"/>
        </w:rPr>
        <w:t xml:space="preserve">The licensee shall establish and implement written policies and procedures as set forth in this rule. The policies and procedures shall be available for review by the department, other agencies designated by Iowa Code section </w:t>
      </w:r>
      <w:hyperlink r:id="rId35">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staff, residents, residents’ families or legal representatives, and the public and shall be reviewed by the licensee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57.12(1)</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 </w:t>
      </w:r>
      <w:r>
        <w:rPr>
          <w:rFonts w:ascii="Times New Roman" w:hAnsi="Times New Roman"/>
          <w:b w:val="false"/>
          <w:i w:val="false"/>
          <w:color w:val="000000"/>
          <w:sz w:val="22"/>
        </w:rPr>
        <w:t>The licensee shall establish written policies for the operation of the facility, including, but not limited to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sex offender management;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including self-administration of medications and chemical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 finances;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alleged dependent adult abuse;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accidents or incidents;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Transportation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Resident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Smoking;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Visitors;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Disaster/emergency planning;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Infection control.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Written personnel policies shall include the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have a written and implemented infection control program, which shall include policies and procedures based on guidelines issued by the Centers for Disease Control and Prevention, U.S. Department of Health and Human Services. The infection control program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handling of blood, body fluids, and body wastes;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feeding syringes and single-resident use and reuse of urine collection bags;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57.12(4)</w:t>
      </w:r>
      <w:r>
        <w:rPr>
          <w:rFonts w:ascii="Times New Roman" w:hAnsi="Times New Roman"/>
          <w:b w:val="false"/>
          <w:i w:val="false"/>
          <w:color w:val="000000"/>
          <w:sz w:val="22"/>
        </w:rPr>
        <w:t> </w:t>
      </w:r>
      <w:r>
        <w:rPr>
          <w:rFonts w:ascii="Times New Roman" w:hAnsi="Times New Roman"/>
          <w:b w:val="false"/>
          <w:i/>
          <w:color w:val="000000"/>
          <w:sz w:val="22"/>
        </w:rPr>
        <w:t xml:space="preserve">Resident care techniques. </w:t>
      </w:r>
      <w:r>
        <w:rPr>
          <w:rFonts w:ascii="Times New Roman" w:hAnsi="Times New Roman"/>
          <w:b w:val="false"/>
          <w:i w:val="false"/>
          <w:color w:val="000000"/>
          <w:sz w:val="22"/>
        </w:rPr>
        <w:t>The facility shall have written and implemented procedures to be followed if a resident needs any of the following treatment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 and reuse of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57.12(5)</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The facility shall establish written policies for the provision of emergency medical care to residents and employees in case of sudden illness or accident. The policies shall include a list of those individuals to be contacted in case of an emergency.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481—57.13</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residential care facility only on a written order signed by a primary care provider, specifying the level of care, and certifying that the individual being admitted requires no more than personal care and supervision and does not require routine nursing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or retain a resident who is in need of greater services than the facility can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more residents than the number of beds for which the facility is licensed.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residential care facility is not required to admit an individual through court order, referral or other means without the express prior approval of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residential care facility the authority or responsibility to manage the personal affairs of the resident except as may be necessary for the safety of the resident and the safe and orderly management of the residential care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18 shall not be admitted to a residential care facility without prior written approval by the department. A distinct part of a residential care facility, segregated from the adult section, may be established based on a résumé of care that is submitted by the licensee or applicant and is commensurate with the needs of the residents of the residential care facility and that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within the third degree of consanguinity to the person acting as guardian.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legal representative, primary care provider, and sponsoring agency, if any, prior to the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primary care provider, family, resident, or legal representative requests such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appropriate record will accompany the resident to ensure continuity of care. “Appropriate record” includes the resident’s face sheet, service plan, most recent orders of the primary care provider and any notifications of upcoming scheduled appointments.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resident’s unused prescriptions shall be sent with the resident or with a legal representative only upon the written order of a primary care provider.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481—57.14</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3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i w:val="false"/>
          <w:color w:val="000000"/>
          <w:sz w:val="22"/>
        </w:rPr>
        <w:t>57.14(4)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not less than 12-point type, that reads as follows: </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seven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37">
        <w:r>
          <w:rPr>
            <w:rStyle w:val="Hyperlink"/>
            <w:rFonts w:ascii="Times New Roman" w:hAnsi="Times New Roman"/>
            <w:b w:val="false"/>
            <w:i w:val="false"/>
            <w:color w:val="000000"/>
            <w:sz w:val="22"/>
          </w:rPr>
          <w:t>57.14(4)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38">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57.14(5)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on an emergency basis. If you think you should not have to leave this facility, you may request a hearing, in writing or verbally, with the Iowa department of inspections and appeals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39">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42">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43">
        <w:r>
          <w:rPr>
            <w:rStyle w:val="Hyperlink"/>
            <w:rFonts w:ascii="Times New Roman" w:hAnsi="Times New Roman"/>
            <w:b w:val="false"/>
            <w:i w:val="false"/>
            <w:color w:val="000000"/>
            <w:sz w:val="22"/>
          </w:rPr>
          <w:t>57.14(9)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44">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4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46">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47">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48">
        <w:r>
          <w:rPr>
            <w:rStyle w:val="Hyperlink"/>
            <w:rFonts w:ascii="Times New Roman" w:hAnsi="Times New Roman"/>
            <w:b w:val="false"/>
            <w:i w:val="false"/>
            <w:color w:val="000000"/>
            <w:sz w:val="22"/>
          </w:rPr>
          <w:t>57.14(11)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57.15(1)</w:t>
      </w:r>
      <w:r>
        <w:rPr>
          <w:rFonts w:ascii="Times New Roman" w:hAnsi="Times New Roman"/>
          <w:b w:val="false"/>
          <w:i w:val="false"/>
          <w:color w:val="000000"/>
          <w:sz w:val="22"/>
        </w:rPr>
        <w:t> </w:t>
      </w:r>
      <w:r>
        <w:rPr>
          <w:rFonts w:ascii="Times New Roman" w:hAnsi="Times New Roman"/>
          <w:b w:val="false"/>
          <w:i w:val="false"/>
          <w:color w:val="000000"/>
          <w:sz w:val="22"/>
        </w:rPr>
        <w:t>Each residency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the complete schedule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for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provided by a barber, beautician, and such.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 an itemized list of services to be provided to the resident based on an assessment at the time of the resident’s admission and in consultation with the administrator and including the specific fee the resident will be charged for each service and the method of payment.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 III) Furthermore, the agreement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the responsible party when appropriate, of changes in the overall rates of both base and additional charges at least 30 days prior to the effective date of such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the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a refund of all advance payments in the event of the transfer, death, or voluntary or involuntary discharge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of and charging for a bed when a resident is hospitalized or leaves the facility temporarily for recreational or therapeutic reasons. The terms shall contain a provision that the bed will be held at the request of the resident or the resident’s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whether the resident’s bed should be held. This request shall be made before the resident leaves or within 48 hours after the resident leaves. The inquiry and the response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or responsible party that, when requested, the bed may be held beyond the number of days designated by the funding source, as long as payments are made in accordance with the agreement.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agreement. No agreement or any provision thereof shall be drawn or construed so as to relieve any health care facility of any requirement or obligation imposed upon it by this chapter or any standards or rules in force pursuant to this chapter.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57.15(2)</w:t>
      </w:r>
      <w:r>
        <w:rPr>
          <w:rFonts w:ascii="Times New Roman" w:hAnsi="Times New Roman"/>
          <w:b w:val="false"/>
          <w:i w:val="false"/>
          <w:color w:val="000000"/>
          <w:sz w:val="22"/>
        </w:rPr>
        <w:t> </w:t>
      </w:r>
      <w:r>
        <w:rPr>
          <w:rFonts w:ascii="Times New Roman" w:hAnsi="Times New Roman"/>
          <w:b w:val="false"/>
          <w:i w:val="false"/>
          <w:color w:val="000000"/>
          <w:sz w:val="22"/>
        </w:rPr>
        <w:t>Each party to the residency agreement shall receive a copy of the signed agreement.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481—57.16</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57.16(1)</w:t>
      </w:r>
      <w:r>
        <w:rPr>
          <w:rFonts w:ascii="Times New Roman" w:hAnsi="Times New Roman"/>
          <w:b w:val="false"/>
          <w:i w:val="false"/>
          <w:color w:val="000000"/>
          <w:sz w:val="22"/>
        </w:rPr>
        <w:t> </w:t>
      </w:r>
      <w:r>
        <w:rPr>
          <w:rFonts w:ascii="Times New Roman" w:hAnsi="Times New Roman"/>
          <w:b w:val="false"/>
          <w:i w:val="false"/>
          <w:color w:val="000000"/>
          <w:sz w:val="22"/>
        </w:rPr>
        <w:t>Each resident in a residential care facility shall have a designated primary care provider who may be contacted when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residential care facility shall have a physical examination prior to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resident is admitted directly from a hospital, a copy of the hospital admission physical and discharge summary may be a part of the record in lieu of an additional physical examination. A record of the examination, signed by the primary care provider, shall be a part of the resident’s record.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of the admission physical examination and medical history shall portray the current medical status of the resident and shall include the resident’s name, sex, age, medical history, physical examination, diagnosis, statement of medical concerns, diet, and results of any diagnostic procedures.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4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57.16(3)</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primary care provider of any accident, injury or adverse change in the resident’s condition that has the potential for requiring physician intervention.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57.16(4)</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visited by or shall visit the resident’s primary care provider at least once each year. The one-year period shall be measured from the date of admission and does not include the resident’s preadmission physical.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481—57.17</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on every resident admitted to the residential care facility, and all entries in the permanent record shall be current, dated, and signed. (III)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if designated;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Mortuary name, telephone number, and address, if designated;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medical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orders for the resident’s level of care, medication, treatments, and diet. The orders shall be in writing and signed by the primary care provider quarterly;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notation of visits to primary care provider and other professional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Documentation regarding services provided by other providers, including but not limited to home health agencies, hospice, day treatment and those providing medical, mental health and Medicaid waiver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Documentation of any adverse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instructions given to the resident, legal representative or facility in the event of discharge or transfer;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of the date and time of the resident’s death, the circumstances of the resident’s death, the disposition of the resident’s body, and the date and time the resident’s family and primary care provider were notified of the resident’s death;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notation of disposition of personal property and medications upon the resident’s transfer, discharge or death.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Each resident shall be ensured confidential treatment of all information contained in the resident’s records. The resident’s written consent shall be required for the release of information to persons not otherwise authorized under law to receive the information.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medical records to staff and professionals providing services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the resident’s personal records, e.g., financial records and social services records, to staff and professionals providing the service to the resident. Only those personnel concerned with the financial affairs of the resident may have access to the financial records.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unless the primary care provider determines that the disclosure of the record or section thereof is contraindicated, in which case this information will be deleted prior to making the record available to the resident or responsible party. This determination and the reasons for it must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is not meant to preclude access to resident records by representatives of state and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an incident report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and sign the incident report. The administrator or designee shall review, sign and date the incident report within 72 hours of the accident, incident or unusual occurrence.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or incident where there is apparent injury or where an injury of unknown origin may have occurred.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incident or unusual occurrence within the facility or on the premises that affects a resident, visitor, or employee.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the termination of services to a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a copy of the resident’s record shall be released to the facility to which the resident is transferred.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records shall be maintained for five years in a clean, dry secured storage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57.17(5)</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50">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residents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57.18(1)</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 shall be provided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to promote personal cleanliness.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Clothing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57.18(4)</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bathe at least twice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57.18(5)</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nonambulatory residents shall be housed on the grade level floor unless the facility has a suitably sized elevator. (II)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481—57.19</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57.19(1)</w:t>
      </w:r>
      <w:r>
        <w:rPr>
          <w:rFonts w:ascii="Times New Roman" w:hAnsi="Times New Roman"/>
          <w:b w:val="false"/>
          <w:i w:val="false"/>
          <w:color w:val="000000"/>
          <w:sz w:val="22"/>
        </w:rPr>
        <w:t> </w:t>
      </w:r>
      <w:r>
        <w:rPr>
          <w:rFonts w:ascii="Times New Roman" w:hAnsi="Times New Roman"/>
          <w:b w:val="false"/>
          <w:i/>
          <w:color w:val="000000"/>
          <w:sz w:val="22"/>
        </w:rPr>
        <w:t xml:space="preserve">Drug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who have been certified in writing by their primary care provider as capable of taking their own medications may retain these medications in their bedroom, but locked storage must be provided, with staff and the resident having access. Monitoring of the storage, administration and documentation by the resident shall be carried out by a person who meets the requirements of subrule </w:t>
      </w:r>
      <w:hyperlink r:id="rId51">
        <w:r>
          <w:rPr>
            <w:rStyle w:val="Hyperlink"/>
            <w:rFonts w:ascii="Times New Roman" w:hAnsi="Times New Roman"/>
            <w:b w:val="false"/>
            <w:i w:val="false"/>
            <w:color w:val="000000"/>
            <w:sz w:val="22"/>
          </w:rPr>
          <w:t>57.19(3)</w:t>
        </w:r>
      </w:hyperlink>
      <w:r>
        <w:rPr>
          <w:rFonts w:ascii="Times New Roman" w:hAnsi="Times New Roman"/>
          <w:b w:val="false"/>
          <w:i w:val="false"/>
          <w:color w:val="000000"/>
          <w:sz w:val="22"/>
        </w:rPr>
        <w:t xml:space="preserve"> and is responsible for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Locked storage for drugs, solutions, and prescriptions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key shall be secured and available only to those employees charged with the responsibility of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II drugs, as defined by Iowa Code chapter </w:t>
      </w:r>
      <w:hyperlink r:id="rId5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shall be kept in a locked box within the locked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locked in a refrigerator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shall be plainly labeled and stored in a specific, well-illuminated cabinet, closet, or storeroom, and shall be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shall be made by the administrator or designee and a registered pharmacist not less than once every three months. The inspection shall be verified by a report signed by the administrator and the pharmacist and filed with the administrator. The report shall include, but not be limited to, certification of the absence of the following: expired drugs, deteriorated drugs, improper labeling, drugs for which there is no current primary care provider’s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for multiresident use shall not be kept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57.19(2)</w:t>
      </w:r>
      <w:r>
        <w:rPr>
          <w:rFonts w:ascii="Times New Roman" w:hAnsi="Times New Roman"/>
          <w:b w:val="false"/>
          <w:i w:val="false"/>
          <w:color w:val="000000"/>
          <w:sz w:val="22"/>
        </w:rPr>
        <w:t> </w:t>
      </w:r>
      <w:r>
        <w:rPr>
          <w:rFonts w:ascii="Times New Roman" w:hAnsi="Times New Roman"/>
          <w:b w:val="false"/>
          <w:i/>
          <w:color w:val="000000"/>
          <w:sz w:val="22"/>
        </w:rPr>
        <w:t xml:space="preserve">Drug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primary care provider’s name, prescription number, name and strength of drug, dosage, directions for use, date of issue, and name and address and telephone number of pharmacy or primary care provider issuing the drug. Where unit dose is used, prescribed medications shall, at a minimum, indicate the resident’s full name, primary care provider’s name, name and strength of drug, and directions for use. Standard containers shall be utilized for dispensing drugs.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Sample medications provided by the resident’s primary care provider shall clearly identify to whom the medications belong.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shall be returned to the issuing pharmacist, pharmacy, or primary care provider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containers unless the resident is participating in an individualized medication program.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shall be destroyed by the person in charge, in the presence of a witness, and with a notation made on the resident’s record or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resident’s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from the Iowa board of pharmacy concerning disposal of unused Schedule II drugs prescribed for a resident who has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Discontinued medications shall be destroyed within a specified time by a responsible person, in the presence of a witness, and with a notation made to that effect or shall be returned to the pharmacist for destruction. Drugs listed under the Schedule II drugs shall be destroyed in accordance with the requirements established by the Iowa board of pharmacy.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medication orders which do not specifically indicate the number of doses to be administered or the length of time the drug is to be administered shall be stopped automatically after a given time period. The automatic-stop order may vary for different types of drugs. The resident’s primary care provider, in conjunction with the pharmacist, shall institute these policies and provide procedures for review and endorsement.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possess any medications unless the primary care provider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primary care provider.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policy to govern the distribution of prescribed medications to residents who are on leave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may be issued to residents who will be on leave from a facility for less than 24 hours. Only those medications needed for the time period the resident will be on leave from the facility may be issued. Non-child-resistant containers may be used. Instructions shall be provided and include the date, the resident’s name, the name of the facility, and the name of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for longer than 24 hours shall be obtained in accordance with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57.19(3)</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administration—authorized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medications as ordered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knowledge of the purpose of the drugs and their dangers and contraindications.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 licensed nurse or primary care provider or shall have successfully completed a department-approved medication aide course and passed a department-approved medication aide challenge examination administered by an area community college.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person shall have a letter of recommendation for admission to the medication aide course from the employing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The person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that the person is competent in medication administration.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written documentation of certification as a medication aide in another state may become a medication aide in Iowa by successfully completing a department-approved nurse aide competency examination and a medication aide challenge examination. The requirements of paragraph </w:t>
      </w:r>
      <w:hyperlink r:id="rId53">
        <w:r>
          <w:rPr>
            <w:rStyle w:val="Hyperlink"/>
            <w:rFonts w:ascii="Times New Roman" w:hAnsi="Times New Roman"/>
            <w:b w:val="false"/>
            <w:i w:val="false"/>
            <w:color w:val="000000"/>
            <w:sz w:val="22"/>
          </w:rPr>
          <w:t>57.19(3)</w:t>
        </w:r>
        <w:r>
          <w:rPr>
            <w:rFonts w:ascii="Times New Roman" w:hAnsi="Times New Roman"/>
            <w:b w:val="false"/>
            <w:i/>
            <w:color w:val="000000"/>
            <w:sz w:val="22"/>
          </w:rPr>
          <w:t>“d”</w:t>
        </w:r>
      </w:hyperlink>
      <w:r>
        <w:rPr>
          <w:rFonts w:ascii="Times New Roman" w:hAnsi="Times New Roman"/>
          <w:b w:val="false"/>
          <w:i w:val="false"/>
          <w:color w:val="000000"/>
          <w:sz w:val="22"/>
        </w:rPr>
        <w:t xml:space="preserve"> do not apply to this person.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a freestanding residential care facility licensed for 15 or fewer beds, a person who has successfully completed a state-approved medication manager course may administer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57.19(4)</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In facilities where the unit dose system is used, the person assigned the responsibility of medication administration must complete the procedure by observing the actual act of swallowing the oral medication and by charting the medication. Medications shall be prepared on the same shift of the same day that they are administered unless the unit dose system is used.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registered nurse, licensed practical nurse, primary care provider or pharmacist. For purposes of this subrule, “injectable medications” does not include an epinephrine autoinjector, e.g., an EpiPen.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certified by the resident’s primary care provider as capable of injecting the resident’s own insulin may do so. Insulin may be administered pursuant to paragraph </w:t>
      </w:r>
      <w:hyperlink r:id="rId54">
        <w:r>
          <w:rPr>
            <w:rStyle w:val="Hyperlink"/>
            <w:rFonts w:ascii="Times New Roman" w:hAnsi="Times New Roman"/>
            <w:b w:val="false"/>
            <w:i w:val="false"/>
            <w:color w:val="000000"/>
            <w:sz w:val="22"/>
          </w:rPr>
          <w:t>57.19(4)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as otherwise authorized by the resident’s primary care provider. (II, III)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renewed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of the person authorized to administer the insulin,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documentation by the primary care provider that the authorized person is qualified to administer insulin to that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may participate in the administration of the resident’s own medication if the primary care provider has certified in writing in the resident’s medical record that the resident is mentally and physically capable of participating and has explained in writing in the resident’s medical record what the resident’s participation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with an accurate count and authorized signatures at every shift.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use a unit dose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aides and medication managers may administer PRN medications without contacting a licensed nurse or primary care provider if all of the following apply: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order from the resident’s primary care provider specifies the purpose of the PRN medication and the frequency, dosage and strength of the PRN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provides in writing specific criteria for administering PRN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assesses the resident’s use of PRN medications when conducting the inspection of drug storage as required by subparagraph </w:t>
      </w:r>
      <w:hyperlink r:id="rId55">
        <w:r>
          <w:rPr>
            <w:rStyle w:val="Hyperlink"/>
            <w:rFonts w:ascii="Times New Roman" w:hAnsi="Times New Roman"/>
            <w:b w:val="false"/>
            <w:i w:val="false"/>
            <w:color w:val="000000"/>
            <w:sz w:val="22"/>
          </w:rPr>
          <w:t>57.19(1)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assess the use of PRN medications when conducting the inspection of drug storage as required by subparagraph </w:t>
      </w:r>
      <w:hyperlink r:id="rId56">
        <w:r>
          <w:rPr>
            <w:rStyle w:val="Hyperlink"/>
            <w:rFonts w:ascii="Times New Roman" w:hAnsi="Times New Roman"/>
            <w:b w:val="false"/>
            <w:i w:val="false"/>
            <w:color w:val="000000"/>
            <w:sz w:val="22"/>
          </w:rPr>
          <w:t>57.19(1)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2643C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481—57.20</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57.20(1)</w:t>
      </w:r>
      <w:r>
        <w:rPr>
          <w:rFonts w:ascii="Times New Roman" w:hAnsi="Times New Roman"/>
          <w:b w:val="false"/>
          <w:i w:val="false"/>
          <w:color w:val="000000"/>
          <w:sz w:val="22"/>
        </w:rPr>
        <w:t> </w:t>
      </w:r>
      <w:r>
        <w:rPr>
          <w:rFonts w:ascii="Times New Roman" w:hAnsi="Times New Roman"/>
          <w:b w:val="false"/>
          <w:i w:val="false"/>
          <w:color w:val="000000"/>
          <w:sz w:val="22"/>
        </w:rPr>
        <w:t>The residential care facility personnel shall assist residents in obtaining annual and emergency dental services and shall arrange transportation for such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57.20(2)</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party, legal representative, or primary care provider. The resident’s primary care provider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57.20(3)</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resident record as available. The facility shall make reasonable efforts to obtain the records following the provision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57.20(4)</w:t>
      </w:r>
      <w:r>
        <w:rPr>
          <w:rFonts w:ascii="Times New Roman" w:hAnsi="Times New Roman"/>
          <w:b w:val="false"/>
          <w:i w:val="false"/>
          <w:color w:val="000000"/>
          <w:sz w:val="22"/>
        </w:rPr>
        <w:t> </w:t>
      </w:r>
      <w:r>
        <w:rPr>
          <w:rFonts w:ascii="Times New Roman" w:hAnsi="Times New Roman"/>
          <w:b w:val="false"/>
          <w:i w:val="false"/>
          <w:color w:val="000000"/>
          <w:sz w:val="22"/>
        </w:rPr>
        <w:t>Personal care staff shall assist the resident in carrying out the dentist’s recommendations.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one person directly responsible for food preparation shall successfully complete a course meeting the requirements for a food protection program included in the Food Code adopted pursuant to Iowa Code chapter </w:t>
      </w:r>
      <w:hyperlink r:id="rId5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Another course may be substituted if the course’s curriculum includes substantially similar competencies to a course that meets the requirements of the Food Code and the provider of the course files with the department a statement indicating that the course provides substantially similar instruction as it relates to sanitation and safe food handling.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the food protection program in paragraph </w:t>
      </w:r>
      <w:hyperlink r:id="rId58">
        <w:r>
          <w:rPr>
            <w:rStyle w:val="Hyperlink"/>
            <w:rFonts w:ascii="Times New Roman" w:hAnsi="Times New Roman"/>
            <w:b w:val="false"/>
            <w:i w:val="false"/>
            <w:color w:val="000000"/>
            <w:sz w:val="22"/>
          </w:rPr>
          <w:t>57.21(1)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requirement relating to the completion of a state-approved food protection program shall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 of paragraph </w:t>
      </w:r>
      <w:hyperlink r:id="rId59">
        <w:r>
          <w:rPr>
            <w:rStyle w:val="Hyperlink"/>
            <w:rFonts w:ascii="Times New Roman" w:hAnsi="Times New Roman"/>
            <w:b w:val="false"/>
            <w:i w:val="false"/>
            <w:color w:val="000000"/>
            <w:sz w:val="22"/>
          </w:rPr>
          <w:t>57.21(1)</w:t>
        </w:r>
        <w:r>
          <w:rPr>
            <w:rFonts w:ascii="Times New Roman" w:hAnsi="Times New Roman"/>
            <w:b w:val="false"/>
            <w:i/>
            <w:color w:val="000000"/>
            <w:sz w:val="22"/>
          </w:rPr>
          <w:t>“a,”</w:t>
        </w:r>
      </w:hyperlink>
      <w:r>
        <w:rPr>
          <w:rFonts w:ascii="Times New Roman" w:hAnsi="Times New Roman"/>
          <w:b w:val="false"/>
          <w:i w:val="false"/>
          <w:color w:val="000000"/>
          <w:sz w:val="22"/>
        </w:rPr>
        <w:t xml:space="preserve"> personnel who are responsible for food preparation or service, or both food preparation and service, shall have an orientation on sanitation and safe food handling prior to handling food and shall have annual in-service training on food protection.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 in accordance with the primary care provider’s orders. Diet orders should be reviewed as necessary, but at least quarterly,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offering a substantial evening meal and breakfast.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contraindicated, evening snacks shall be offered routinely to all residents. Special nourishments shall be available when ordered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or requested,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alternative choice at scheduled meal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60">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two-day period shall be maintained on the premises. Minimum food portion requirements for a low-cost plan shall conform to information supplied by the bureau of nutrition and health promotion of the department of public health.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Dishes shall be free of cracks, chips, and stains.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properly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the kitchen shall not be used for serving meals to residents, food service personnel, or other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procedures established for cleaning all work and serving areas in facilities with more than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schedule for duties to be performed daily shall be posted in each food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cooking equipment in facilities of 15 or more beds shall be provided with a properly sized exhaust system and hood to eliminate excess heat, moisture, and odors from the kitchen.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no washing, ironing, sorting or folding of laundry in the food service area. Dirty linen shall not be carried through the food service area unless the linen is in sealed, leakproof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facilities with more than 15 beds, a mechanical dishwasher is required.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three-compartment pot and pan sink with 110°F (43°C) to 115°F (46°C) water for washing, a compartment for rinsing with water at 170°F (76°C) to 180°F (82°C) for sanitizing with space for air drying, or a two-compartment sink with access to a mechanical dishwasher for sanitizing all utensils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w:t>
      </w:r>
      <w:r>
        <w:rPr>
          <w:rFonts w:ascii="Times New Roman" w:hAnsi="Times New Roman"/>
          <w:b/>
          <w:i w:val="false"/>
          <w:color w:val="000000"/>
          <w:sz w:val="22"/>
        </w:rPr>
        <w:t xml:space="preserve">(135C) </w:t>
      </w:r>
      <w:r>
        <w:rPr>
          <w:rFonts w:ascii="Times New Roman" w:hAnsi="Times New Roman"/>
          <w:b/>
          <w:i w:val="false"/>
          <w:color w:val="000000"/>
          <w:sz w:val="22"/>
        </w:rPr>
        <w:t xml:space="preserve">Orientation and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Within 24 hours of admission, each resident shall receive orientation to the facility. The orientation program shall be documented in the resident’s file and shall include, but shall not be limited to, a review of the resident’s rights, the daily schedule, house rules and the facility’s evacuation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w:t>
      </w:r>
      <w:r>
        <w:rPr>
          <w:rFonts w:ascii="Times New Roman" w:hAnsi="Times New Roman"/>
          <w:b w:val="false"/>
          <w:i w:val="false"/>
          <w:color w:val="000000"/>
          <w:sz w:val="22"/>
        </w:rPr>
        <w:t> </w:t>
      </w:r>
      <w:r>
        <w:rPr>
          <w:rFonts w:ascii="Times New Roman" w:hAnsi="Times New Roman"/>
          <w:b w:val="false"/>
          <w:i/>
          <w:color w:val="000000"/>
          <w:sz w:val="22"/>
        </w:rPr>
        <w:t xml:space="preserve">Initial service plan. </w:t>
      </w:r>
      <w:r>
        <w:rPr>
          <w:rFonts w:ascii="Times New Roman" w:hAnsi="Times New Roman"/>
          <w:b w:val="false"/>
          <w:i w:val="false"/>
          <w:color w:val="000000"/>
          <w:sz w:val="22"/>
        </w:rPr>
        <w:t xml:space="preserve">Within 48 hours of admission, the administrator or the administrator’s designee shall develop an initial service plan to address any immediate health and safety needs. The plan shall be based on information gathered from the resident, family, referring party, primary care provider, and other significant persons. The plan shall be followed until the service plan required in subrule </w:t>
      </w:r>
      <w:hyperlink r:id="rId61">
        <w:r>
          <w:rPr>
            <w:rStyle w:val="Hyperlink"/>
            <w:rFonts w:ascii="Times New Roman" w:hAnsi="Times New Roman"/>
            <w:b w:val="false"/>
            <w:i w:val="false"/>
            <w:color w:val="000000"/>
            <w:sz w:val="22"/>
          </w:rPr>
          <w:t>57.22(3)</w:t>
        </w:r>
      </w:hyperlink>
      <w:r>
        <w:rPr>
          <w:rFonts w:ascii="Times New Roman" w:hAnsi="Times New Roman"/>
          <w:b w:val="false"/>
          <w:i w:val="false"/>
          <w:color w:val="000000"/>
          <w:sz w:val="22"/>
        </w:rPr>
        <w:t xml:space="preserve"> is complete.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57.22(3)</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Within 30 days of admission, the administrator or the administrator’s designee, in conjunction with the resident, the resident’s responsible party, the interdisciplinary team, and any organization that works with or serves the resident, shall develop a written, individualized, and integrated service plan for the resident. The service plan shall be developed and implemented to address the resident’s priorities and assessed needs, such as activities of daily living, rehabilitation, activity, and social, behavioral, emotional, physical and mental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measurable goals and objectives and the specific service(s) to be provided to achieve the goals. Each goal shall include the date of initiation and anticipated duration of service(s). Any restriction of rights shall be included in the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documentation procedure for each goal and objective.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plan should be modified to add or delete goals and objectives as the resident’s needs change. Communications related to service plan changes or changes in the resident’s condition shall occur within five working days of the change and shall be conveyed to all individuals inside and outside the residential care facility who work with the resident, as well as to the resident’s responsible party.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at least quarterly by relevant staff, the resident and appropriate others, such as the resident’s family, case manager and responsible party. The review shall include a written report which addresses a summary of the resident’s progress toward goals and objectives and the need for continued services.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481—57.23</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57.23(1)</w:t>
      </w:r>
      <w:r>
        <w:rPr>
          <w:rFonts w:ascii="Times New Roman" w:hAnsi="Times New Roman"/>
          <w:b w:val="false"/>
          <w:i w:val="false"/>
          <w:color w:val="000000"/>
          <w:sz w:val="22"/>
        </w:rPr>
        <w:t> </w:t>
      </w:r>
      <w:r>
        <w:rPr>
          <w:rFonts w:ascii="Times New Roman" w:hAnsi="Times New Roman"/>
          <w:b w:val="false"/>
          <w:i/>
          <w:color w:val="000000"/>
          <w:sz w:val="22"/>
        </w:rPr>
        <w:t xml:space="preserve">Activities program. </w:t>
      </w:r>
      <w:r>
        <w:rPr>
          <w:rFonts w:ascii="Times New Roman" w:hAnsi="Times New Roman"/>
          <w:b w:val="false"/>
          <w:i w:val="false"/>
          <w:color w:val="000000"/>
          <w:sz w:val="22"/>
        </w:rPr>
        <w:t>Each residential care facility shall provide an organized resident activities program for the group and for the individual resident which shall include suitable activities. The facility shall offer at least two organized evening group activities per week and two organized weekend group activities per month.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be designed to meet the needs and interests of each resident and to assist residents in continuing normal activities within limitations set by the resident’s primary care provider.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include measureable goals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include both group and individual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but not required, to participate in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with 15 or fewer beds shall designate a person to oversee the activities program, develop goals and monitor progress.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with more than 15 beds shall employ a person to direct the activities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Staffing for the activities program shall be provided on the minimum basis of 45 minutes per resident per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activities coordinator shall have completed the activities coordinator orientation course approved by the department within six months of employment or have comparable training and experience as approved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personnel coverage when the activities coordinator is absent during scheduled working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57.23(3)</w:t>
      </w:r>
      <w:r>
        <w:rPr>
          <w:rFonts w:ascii="Times New Roman" w:hAnsi="Times New Roman"/>
          <w:b w:val="false"/>
          <w:i w:val="false"/>
          <w:color w:val="000000"/>
          <w:sz w:val="22"/>
        </w:rPr>
        <w:t> </w:t>
      </w:r>
      <w:r>
        <w:rPr>
          <w:rFonts w:ascii="Times New Roman" w:hAnsi="Times New Roman"/>
          <w:b w:val="false"/>
          <w:i/>
          <w:color w:val="000000"/>
          <w:sz w:val="22"/>
        </w:rPr>
        <w:t xml:space="preserve">Duties of activities coordinator. </w:t>
      </w:r>
      <w:r>
        <w:rPr>
          <w:rFonts w:ascii="Times New Roman" w:hAnsi="Times New Roman"/>
          <w:b w:val="false"/>
          <w:i w:val="false"/>
          <w:color w:val="000000"/>
          <w:sz w:val="22"/>
        </w:rPr>
        <w:t>The activities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access to all residents’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all necessary records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resident progress notes, recorded at least every three months;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calendars, prepared in advance, updated as necessary and maintained for one year.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the activities program with all other services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w:t>
      </w:r>
      <w:r>
        <w:rPr>
          <w:rFonts w:ascii="Times New Roman" w:hAnsi="Times New Roman"/>
          <w:b w:val="false"/>
          <w:i w:val="false"/>
          <w:color w:val="000000"/>
          <w:sz w:val="22"/>
        </w:rPr>
        <w:t> </w:t>
      </w:r>
      <w:r>
        <w:rPr>
          <w:rFonts w:ascii="Times New Roman" w:hAnsi="Times New Roman"/>
          <w:b w:val="false"/>
          <w:i w:val="false"/>
          <w:color w:val="000000"/>
          <w:sz w:val="22"/>
        </w:rPr>
        <w:t>Each facility shall ensure that policies and procedures are written and implemented which include, at a minimum, the provisions of this rule and which govern all areas of service provided by the facility. These policies and procedures shall be available to staff, residents, residents’ families or legal representatives and the public and shall be reviewed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parties and for ensuring a response and disposition by the facility. (II, III) The written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provision of assistance to residents as necessary to complete and submit complaints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protection of the resident from any form of reprisal or intimidation;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designation of an employee responsible for handling grievances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method of investigating and assessing the validity of a grievance or recommendation; (II, III)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methods of recording grievances and actions taken.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the resident’s admission, or in the case of residents already in the facility, upon the facility’s adoption or amendment of residents’ rights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communicate to residents prior to or within five days after admission what residents may expect from the facility and its staff, and what is expected from residents. The communication shall be in writing, e.g., in a separate handout or brochure describing the facility, and interpreted verbally, e.g., as part of a preadmission interview, resident counseling, or in individual or group orientation sessions following the resident’s admission.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if applicable, indicating an understanding of these rights and responsibilities and shall be maintained in the resident’s record. The statement shall be signed no later than five days after admission, and a copy of the signed statement shall be given to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non-English-speaking, deaf or hard-of-hearing, or blind residents of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57.24(5)</w:t>
      </w:r>
      <w:r>
        <w:rPr>
          <w:rFonts w:ascii="Times New Roman" w:hAnsi="Times New Roman"/>
          <w:b w:val="false"/>
          <w:i w:val="false"/>
          <w:color w:val="000000"/>
          <w:sz w:val="22"/>
        </w:rPr>
        <w:t> </w:t>
      </w:r>
      <w:r>
        <w:rPr>
          <w:rFonts w:ascii="Times New Roman" w:hAnsi="Times New Roman"/>
          <w:b w:val="false"/>
          <w:i w:val="false"/>
          <w:color w:val="000000"/>
          <w:sz w:val="22"/>
        </w:rPr>
        <w:t>Choice of primary care provider. Each resident shall be permitted free choice of a primary care provider, and pharmacy, if accessible. The facility may require the selected pharmacy to utilize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shall be afforded the opportunity to participate in the planning of the resident’s total care and treatment, which may include, but shall not be limited to, medical care, nutritional needs, activities, and social work services. Each resident has the right to refuse treatment except as provided by Iowa Code chapter </w:t>
      </w:r>
      <w:hyperlink r:id="rId6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resident with impaired decision-making skills, the responsible party shall be afforded the opportunity to participate in the planning of the resident’s total care and medical treatment and to be informed of the resident’s medical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57.24(7)</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encouraged and assisted throughout the resident’s period of stay to exercise the resident’s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57.24(8)</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changes in policies and services that are more restrictive,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text of Iowa Code section </w:t>
      </w:r>
      <w:hyperlink r:id="rId6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(Retaliation Prohibited) and the name, telephone number, and address of the long-term care ombudsman, the department, and the local law enforcement agency to provide residents a further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and responsibilities of the resident devolve to the resident’s responsible party or any legal surrogate designated in accordance with state law, to the extent permitted by state law. This subrule is not intended to limit the authority of any individual acting pursuant to Iowa Code chapter </w:t>
      </w:r>
      <w:hyperlink r:id="rId6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481—57.25</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under emergency conditions.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481—57.26</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57.26(1)</w:t>
      </w:r>
      <w:r>
        <w:rPr>
          <w:rFonts w:ascii="Times New Roman" w:hAnsi="Times New Roman"/>
          <w:b w:val="false"/>
          <w:i w:val="false"/>
          <w:color w:val="000000"/>
          <w:sz w:val="22"/>
        </w:rPr>
        <w:t>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57.26(2)</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documents specific reasons why such a visit would be harmful to the resident’s health.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57.26(3)</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to restrict a visitor are reviewed and reevaluated: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the medical orders are reviewed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quarterly by the facility’s staff;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57.26(5)</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57.26(6)</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57.26(7)</w:t>
      </w:r>
      <w:r>
        <w:rPr>
          <w:rFonts w:ascii="Times New Roman" w:hAnsi="Times New Roman"/>
          <w:b w:val="false"/>
          <w:i w:val="false"/>
          <w:color w:val="000000"/>
          <w:sz w:val="22"/>
        </w:rPr>
        <w:t> </w:t>
      </w:r>
      <w:r>
        <w:rPr>
          <w:rFonts w:ascii="Times New Roman" w:hAnsi="Times New Roman"/>
          <w:b w:val="false"/>
          <w:i w:val="false"/>
          <w:color w:val="000000"/>
          <w:sz w:val="22"/>
        </w:rPr>
        <w:t>Residents, including residents court-ordered to the facility, shall be permitted to leave the facility at reasonable times unless there are justifiable reasons established in writing by court order, the primary care provider, the interdisciplinary team,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57.26(8)</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481—57.27</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57.27(1)</w:t>
      </w:r>
      <w:r>
        <w:rPr>
          <w:rFonts w:ascii="Times New Roman" w:hAnsi="Times New Roman"/>
          <w:b w:val="false"/>
          <w:i w:val="false"/>
          <w:color w:val="000000"/>
          <w:sz w:val="22"/>
        </w:rPr>
        <w:t>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primary care provider or interdisciplinary team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57.27(2)</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facility shall offer the resident the opportunity to have personal property itemized and documented on an inventory sheet upon the resident’s admission. The inventory sheet shall be kept in a safe location which is convenient to the resident and shall be updated at least annually. At discharge, residents may sign off on a list of the personal property they are taking with them.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the safekeeping of personal effects, funds and other property of its residents. The facility may require that items of exceptional value or that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57.28(3)</w:t>
      </w:r>
      <w:r>
        <w:rPr>
          <w:rFonts w:ascii="Times New Roman" w:hAnsi="Times New Roman"/>
          <w:b w:val="false"/>
          <w:i w:val="false"/>
          <w:color w:val="000000"/>
          <w:sz w:val="22"/>
        </w:rPr>
        <w:t> </w:t>
      </w:r>
      <w:r>
        <w:rPr>
          <w:rFonts w:ascii="Times New Roman" w:hAnsi="Times New Roman"/>
          <w:b w:val="false"/>
          <w:i w:val="false"/>
          <w:color w:val="000000"/>
          <w:sz w:val="22"/>
        </w:rPr>
        <w:t>Funds or properties received by the facility, belonging or due a resident, expendable for the resident’s account, shall be trust funds.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481—57.29</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To the extent the facility assists in management, under written authorization by the resident, the management shall be carried out in accordance with Iowa Code section </w:t>
      </w:r>
      <w:hyperlink r:id="rId65">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6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resident with impaired decision-making skills, the resident’s legal representative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facility must document that it has prepared and sent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legal representative.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legal representative. The department may report findings that resident funds have been used without written consent to the department’s investigations division or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 </w:t>
      </w:r>
      <w:hyperlink r:id="rId67">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57.30(1)</w:t>
      </w:r>
      <w:r>
        <w:rPr>
          <w:rFonts w:ascii="Times New Roman" w:hAnsi="Times New Roman"/>
          <w:b w:val="false"/>
          <w:i w:val="false"/>
          <w:color w:val="000000"/>
          <w:sz w:val="22"/>
        </w:rPr>
        <w:t> </w:t>
      </w:r>
      <w:r>
        <w:rPr>
          <w:rFonts w:ascii="Times New Roman" w:hAnsi="Times New Roman"/>
          <w:b w:val="false"/>
          <w:i w:val="false"/>
          <w:color w:val="000000"/>
          <w:sz w:val="22"/>
        </w:rPr>
        <w:t>Residents may not be used to provide a source of labor for the facility against their will. Approval by the primary care provider is required for all work programs.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57.30(2)</w:t>
      </w:r>
      <w:r>
        <w:rPr>
          <w:rFonts w:ascii="Times New Roman" w:hAnsi="Times New Roman"/>
          <w:b w:val="false"/>
          <w:i w:val="false"/>
          <w:color w:val="000000"/>
          <w:sz w:val="22"/>
        </w:rPr>
        <w:t> </w:t>
      </w:r>
      <w:r>
        <w:rPr>
          <w:rFonts w:ascii="Times New Roman" w:hAnsi="Times New Roman"/>
          <w:b w:val="false"/>
          <w:i w:val="false"/>
          <w:color w:val="000000"/>
          <w:sz w:val="22"/>
        </w:rPr>
        <w:t>Residents who perform work for the facility must receive compensation unless the work is part of their approved training program. Persons on the resident census who perform work shall not be used to replace paid employees in fulfilling staffing requirements.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481—57.31</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Family—shared rooms. </w:t>
      </w:r>
      <w:r>
        <w:rPr>
          <w:rFonts w:ascii="Times New Roman" w:hAnsi="Times New Roman"/>
          <w:b w:val="false"/>
          <w:i w:val="false"/>
          <w:color w:val="000000"/>
          <w:sz w:val="22"/>
        </w:rPr>
        <w:t>Family members or spouses shall be permitted to share a room, if available, if requested by both parties, unless the primary care provider of one of the parties documents in the medical record specific reasons why such an agreement would have an adverse effect on the health of the resident.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481—57.32</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shall only be used in accordance with orders of the primary care provider.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57.32(4)</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68">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57.32(5)</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shall receive training relating to the identification and reporting of dependent adult abuse as required by Iowa Code section </w:t>
      </w:r>
      <w:hyperlink r:id="rId70">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481—57.33</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 xml:space="preserve">If a facility utilizes physical restraints, the facility shall have written policies that define the uses of physical restraints, designate the administrator or designee as the person who may authorize their use, establish a mechanism for monitoring and controlling their use, and provide staff with proper training. (I, II,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57.33(1)</w:t>
      </w:r>
      <w:r>
        <w:rPr>
          <w:rFonts w:ascii="Times New Roman" w:hAnsi="Times New Roman"/>
          <w:b w:val="false"/>
          <w:i w:val="false"/>
          <w:color w:val="000000"/>
          <w:sz w:val="22"/>
        </w:rPr>
        <w:t> </w:t>
      </w:r>
      <w:r>
        <w:rPr>
          <w:rFonts w:ascii="Times New Roman" w:hAnsi="Times New Roman"/>
          <w:b w:val="false"/>
          <w:i w:val="false"/>
          <w:color w:val="000000"/>
          <w:sz w:val="22"/>
        </w:rPr>
        <w:t>Temporary physical restraint of residents shall be used only under the following conditions: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to prevent injury to the resident or to others; 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 but shall not be used for punishment, for the convenience of staff or as a substitution for supervision or programming;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57.33(2)</w:t>
      </w:r>
      <w:r>
        <w:rPr>
          <w:rFonts w:ascii="Times New Roman" w:hAnsi="Times New Roman"/>
          <w:b w:val="false"/>
          <w:i w:val="false"/>
          <w:color w:val="000000"/>
          <w:sz w:val="22"/>
        </w:rPr>
        <w:t> </w:t>
      </w:r>
      <w:r>
        <w:rPr>
          <w:rFonts w:ascii="Times New Roman" w:hAnsi="Times New Roman"/>
          <w:b w:val="false"/>
          <w:i w:val="false"/>
          <w:color w:val="000000"/>
          <w:sz w:val="22"/>
        </w:rPr>
        <w:t>Authorization for the use of physical restraints must be prior to or immediately after application of the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57.33(3)</w:t>
      </w:r>
      <w:r>
        <w:rPr>
          <w:rFonts w:ascii="Times New Roman" w:hAnsi="Times New Roman"/>
          <w:b w:val="false"/>
          <w:i w:val="false"/>
          <w:color w:val="000000"/>
          <w:sz w:val="22"/>
        </w:rPr>
        <w:t> </w:t>
      </w:r>
      <w:r>
        <w:rPr>
          <w:rFonts w:ascii="Times New Roman" w:hAnsi="Times New Roman"/>
          <w:b w:val="false"/>
          <w:i w:val="false"/>
          <w:color w:val="000000"/>
          <w:sz w:val="22"/>
        </w:rPr>
        <w:t xml:space="preserve"> Prone restraint is prohibited. Staff persons who find themselves involved in the use of a prone restraint when responding to an emergency must take immediate steps to end the prone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57.33(4)</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resident’s rights and to ensure safety shall be clearly set forth in the resident’s record by the responsible staff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57.33(5)</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the interdisciplinary team and the resident’s responsible party shall be notified of any restraints administered.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to the staff a department-approved training program by qualified professionals on physical restraint techniques.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with documented training in physical restraint and techniques shall be authorized to assist with physical restraint of a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57.33(7)</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kept behind locked doors.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57.33(8)</w:t>
      </w:r>
      <w:r>
        <w:rPr>
          <w:rFonts w:ascii="Times New Roman" w:hAnsi="Times New Roman"/>
          <w:b w:val="false"/>
          <w:i w:val="false"/>
          <w:color w:val="000000"/>
          <w:sz w:val="22"/>
        </w:rPr>
        <w:t> </w:t>
      </w:r>
      <w:r>
        <w:rPr>
          <w:rFonts w:ascii="Times New Roman" w:hAnsi="Times New Roman"/>
          <w:b w:val="false"/>
          <w:i w:val="false"/>
          <w:color w:val="000000"/>
          <w:sz w:val="22"/>
        </w:rPr>
        <w:t>Mechanical restraint is prohibited. Staff persons who find themselves involved in the use of a mechanical restraint when responding to an emergency must take immediate steps to end the mechanical restraint.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481—57.34</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residential care facility shall be responsible for the provision and maintenance of a safe environment for residents and personnel.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residential care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prominently posted in a common area of the building.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shall be prohibited, except as allowed by Iowa Code chapter </w:t>
      </w:r>
      <w:hyperlink r:id="rId7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the smokefree air Act.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adequate supervision to ensure against hazard from themselves,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areas for cleaning agents, bleaches, insecticides, or any other poisonous, dangerous, or flammable materials shall be locked. Residents permitted to access these materials shall be supervised by staff as identified in the resident’s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with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personal possessions that may constitute a hazard to residents or others shall be removed and stored.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57.34(4)</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481—57.35</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be established and implemented for daily and weekly cleaning schedules.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57.35(2)</w:t>
      </w:r>
      <w:r>
        <w:rPr>
          <w:rFonts w:ascii="Times New Roman" w:hAnsi="Times New Roman"/>
          <w:b w:val="false"/>
          <w:i w:val="false"/>
          <w:color w:val="000000"/>
          <w:sz w:val="22"/>
        </w:rPr>
        <w:t> </w:t>
      </w:r>
      <w:r>
        <w:rPr>
          <w:rFonts w:ascii="Times New Roman" w:hAnsi="Times New Roman"/>
          <w:b w:val="false"/>
          <w:i w:val="false"/>
          <w:color w:val="000000"/>
          <w:sz w:val="22"/>
        </w:rPr>
        <w:t>Each resident room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57.35(3)</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57.35(4)</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57.35(5)</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57.35(6)</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57.35(7)</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57.35(8)</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57.35(9)</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57.35(10)</w:t>
      </w:r>
      <w:r>
        <w:rPr>
          <w:rFonts w:ascii="Times New Roman" w:hAnsi="Times New Roman"/>
          <w:b w:val="false"/>
          <w:i w:val="false"/>
          <w:color w:val="000000"/>
          <w:sz w:val="22"/>
        </w:rPr>
        <w:t> </w:t>
      </w:r>
      <w:r>
        <w:rPr>
          <w:rFonts w:ascii="Times New Roman" w:hAnsi="Times New Roman"/>
          <w:b w:val="false"/>
          <w:i w:val="false"/>
          <w:color w:val="000000"/>
          <w:sz w:val="22"/>
        </w:rPr>
        <w:t>Throw or scatter rugs shall have nonskid backing.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57.35(11)</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481—57.36</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maintenance program to ensure the continued maintenance of the facility, to promote good housekeeping procedures, and to ensure sanitary practices throughout the facility. In facilities with more than 15 beds, the maintenance program shall be established in writing and available for review by the department.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57.36(2)</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57.36(3)</w:t>
      </w:r>
      <w:r>
        <w:rPr>
          <w:rFonts w:ascii="Times New Roman" w:hAnsi="Times New Roman"/>
          <w:b w:val="false"/>
          <w:i w:val="false"/>
          <w:color w:val="000000"/>
          <w:sz w:val="22"/>
        </w:rPr>
        <w:t> </w:t>
      </w:r>
      <w:r>
        <w:rPr>
          <w:rFonts w:ascii="Times New Roman" w:hAnsi="Times New Roman"/>
          <w:b w:val="false"/>
          <w:i w:val="false"/>
          <w:color w:val="000000"/>
          <w:sz w:val="22"/>
        </w:rPr>
        <w:t>Window treatments and furniture shall be clean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57.36(4)</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57.36(5)</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57.36(6)</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57.36(7)</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57.36(8)</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57.36(9)</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57.36(10)</w:t>
      </w:r>
      <w:r>
        <w:rPr>
          <w:rFonts w:ascii="Times New Roman" w:hAnsi="Times New Roman"/>
          <w:b w:val="false"/>
          <w:i w:val="false"/>
          <w:color w:val="000000"/>
          <w:sz w:val="22"/>
        </w:rPr>
        <w:t> </w:t>
      </w:r>
      <w:r>
        <w:rPr>
          <w:rFonts w:ascii="Times New Roman" w:hAnsi="Times New Roman"/>
          <w:b w:val="false"/>
          <w:i w:val="false"/>
          <w:color w:val="000000"/>
          <w:sz w:val="22"/>
        </w:rPr>
        <w:t>Janitor’s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provided with storage for cleaning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Mops, scrub pails, and other cleaning equipment used in the resident areas shall not be stored or used in the dietary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a janitor’s closet shall be provided. It shall be equipped with water for filling scrub pails and a janitor’s sink for emptying scrub pails.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481—57.37</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57.37(1)</w:t>
      </w:r>
      <w:r>
        <w:rPr>
          <w:rFonts w:ascii="Times New Roman" w:hAnsi="Times New Roman"/>
          <w:b w:val="false"/>
          <w:i w:val="false"/>
          <w:color w:val="000000"/>
          <w:sz w:val="22"/>
        </w:rPr>
        <w:t> </w:t>
      </w:r>
      <w:r>
        <w:rPr>
          <w:rFonts w:ascii="Times New Roman" w:hAnsi="Times New Roman"/>
          <w:b w:val="false"/>
          <w:i w:val="false"/>
          <w:color w:val="000000"/>
          <w:sz w:val="22"/>
        </w:rPr>
        <w:t>All soiled linens shall be collected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57.37(2)</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57.37(3)</w:t>
      </w:r>
      <w:r>
        <w:rPr>
          <w:rFonts w:ascii="Times New Roman" w:hAnsi="Times New Roman"/>
          <w:b w:val="false"/>
          <w:i w:val="false"/>
          <w:color w:val="000000"/>
          <w:sz w:val="22"/>
        </w:rPr>
        <w:t> </w:t>
      </w:r>
      <w:r>
        <w:rPr>
          <w:rFonts w:ascii="Times New Roman" w:hAnsi="Times New Roman"/>
          <w:b w:val="false"/>
          <w:i w:val="false"/>
          <w:color w:val="000000"/>
          <w:sz w:val="22"/>
        </w:rPr>
        <w:t>Procedures shall be written for the proper handling of wet, soiled, and contaminated linens.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57.37(4)</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if comingled with other residents’ personal laundry.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57.37(5)</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57.37(6)</w:t>
      </w:r>
      <w:r>
        <w:rPr>
          <w:rFonts w:ascii="Times New Roman" w:hAnsi="Times New Roman"/>
          <w:b w:val="false"/>
          <w:i w:val="false"/>
          <w:color w:val="000000"/>
          <w:sz w:val="22"/>
        </w:rPr>
        <w:t> </w:t>
      </w:r>
      <w:r>
        <w:rPr>
          <w:rFonts w:ascii="Times New Roman" w:hAnsi="Times New Roman"/>
          <w:b w:val="false"/>
          <w:i w:val="false"/>
          <w:color w:val="000000"/>
          <w:sz w:val="22"/>
        </w:rPr>
        <w:t>If laundry is done in the facility, the following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clean, dry, well-lit area to accommodate a washer and dryer of adequate size to serve the needs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with more than 15 beds, the laundry room shall be divided into separate areas, one for sorting soiled linen and one for sorting and folding clean linen.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481—57.38</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and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57.38(3)</w:t>
      </w:r>
      <w:r>
        <w:rPr>
          <w:rFonts w:ascii="Times New Roman" w:hAnsi="Times New Roman"/>
          <w:b w:val="false"/>
          <w:i w:val="false"/>
          <w:color w:val="000000"/>
          <w:sz w:val="22"/>
        </w:rPr>
        <w:t> </w:t>
      </w:r>
      <w:r>
        <w:rPr>
          <w:rFonts w:ascii="Times New Roman" w:hAnsi="Times New Roman"/>
          <w:b w:val="false"/>
          <w:i w:val="false"/>
          <w:color w:val="000000"/>
          <w:sz w:val="22"/>
        </w:rPr>
        <w:t>All unlined containers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57.38(4)</w:t>
      </w:r>
      <w:r>
        <w:rPr>
          <w:rFonts w:ascii="Times New Roman" w:hAnsi="Times New Roman"/>
          <w:b w:val="false"/>
          <w:i w:val="false"/>
          <w:color w:val="000000"/>
          <w:sz w:val="22"/>
        </w:rPr>
        <w:t> </w:t>
      </w:r>
      <w:r>
        <w:rPr>
          <w:rFonts w:ascii="Times New Roman" w:hAnsi="Times New Roman"/>
          <w:b w:val="false"/>
          <w:i w:val="false"/>
          <w:color w:val="000000"/>
          <w:sz w:val="22"/>
        </w:rPr>
        <w:t>All waste shall be properly disposed of in compliance with local ordinances and state codes.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481—57.39</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57.39(1)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57.39(2)</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equipment shall be properly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and sanitary storage shall be provided for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481—57.40</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as needed, except on furniture provided by the resident and the property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57.40(3)</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Living rooms shall be suitably furnished.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Dining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standard, single, or twin bed, substantially constructed and in good repair. 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four residents per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w:t>
      </w:r>
      <w:r>
        <w:rPr>
          <w:rFonts w:ascii="Times New Roman" w:hAnsi="Times New Roman"/>
          <w:b w:val="false"/>
          <w:i w:val="false"/>
          <w:color w:val="000000"/>
          <w:sz w:val="22"/>
        </w:rPr>
        <w:t> </w:t>
      </w:r>
      <w:r>
        <w:rPr>
          <w:rFonts w:ascii="Times New Roman" w:hAnsi="Times New Roman"/>
          <w:b w:val="false"/>
          <w:i w:val="false"/>
          <w:color w:val="000000"/>
          <w:sz w:val="22"/>
        </w:rPr>
        <w:t>In all facilities, if the family or employees live within the facility, separate living quarters and recreation facilities shall be required for the family or employees distinct from such areas provided for the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No animals shall be allowed to reside in the facility except with written approval of the department and under controlled conditions.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481—57.43</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hyperlink r:id="rId72">
        <w:r>
          <w:rPr>
            <w:rStyle w:val="Hyperlink"/>
            <w:rFonts w:ascii="Times New Roman" w:hAnsi="Times New Roman"/>
            <w:b w:val="false"/>
            <w:i w:val="false"/>
            <w:color w:val="000000"/>
            <w:sz w:val="22"/>
          </w:rPr>
          <w:t>57.43(2)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hyperlink>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57.43(2)</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57.43(3)</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57.43(4)</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73">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481—57.44</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 xml:space="preserve">“Respite care services” means an organized program of temporary supportive care provided for 24 hours or more to a person in order to relieve the usual caregiver of the person from providing continual care to the person. “Respite care services” does not include crisis stabilization services provided pursuant to </w:t>
      </w:r>
      <w:r>
        <w:rPr>
          <w:rFonts w:ascii="Times New Roman" w:hAnsi="Times New Roman"/>
          <w:b w:val="false"/>
          <w:i w:val="false"/>
          <w:color w:val="000000"/>
          <w:sz w:val="22"/>
        </w:rPr>
        <w:t>2014 Iowa Acts, chapter 1044</w:t>
      </w:r>
      <w:r>
        <w:rPr>
          <w:rFonts w:ascii="Times New Roman" w:hAnsi="Times New Roman"/>
          <w:b w:val="false"/>
          <w:i w:val="false"/>
          <w:color w:val="000000"/>
          <w:sz w:val="22"/>
        </w:rPr>
        <w:t xml:space="preserve"> (to be codified at Iowa Code section </w:t>
      </w:r>
      <w:hyperlink r:id="rId74">
        <w:r>
          <w:rPr>
            <w:rStyle w:val="Hyperlink"/>
            <w:rFonts w:ascii="Times New Roman" w:hAnsi="Times New Roman"/>
            <w:b w:val="false"/>
            <w:i w:val="false"/>
            <w:color w:val="000000"/>
            <w:sz w:val="22"/>
          </w:rPr>
          <w:t>225C.19A</w:t>
        </w:r>
      </w:hyperlink>
      <w:r>
        <w:rPr>
          <w:rFonts w:ascii="Times New Roman" w:hAnsi="Times New Roman"/>
          <w:b w:val="false"/>
          <w:i w:val="false"/>
          <w:color w:val="000000"/>
          <w:sz w:val="22"/>
        </w:rPr>
        <w:t>). “Respite care individual” means a person receiving respite care services. A residential care facility which chooses to provide respite care services must meet the following requirements related to respite services and must be licensed as a residential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may be provided for no more than 30 consecutive days and for a total of no more than 60 days in a consecutive 12-month period. The 12-month period begins on the first day of the respite care individual’s stay at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57.44(2)</w:t>
      </w:r>
      <w:r>
        <w:rPr>
          <w:rFonts w:ascii="Times New Roman" w:hAnsi="Times New Roman"/>
          <w:b w:val="false"/>
          <w:i w:val="false"/>
          <w:color w:val="000000"/>
          <w:sz w:val="22"/>
        </w:rPr>
        <w:t> </w:t>
      </w:r>
      <w:r>
        <w:rPr>
          <w:rFonts w:ascii="Times New Roman" w:hAnsi="Times New Roman"/>
          <w:b w:val="false"/>
          <w:i/>
          <w:color w:val="000000"/>
          <w:sz w:val="22"/>
        </w:rPr>
        <w:t xml:space="preserve">No separate license. </w:t>
      </w:r>
      <w:r>
        <w:rPr>
          <w:rFonts w:ascii="Times New Roman" w:hAnsi="Times New Roman"/>
          <w:b w:val="false"/>
          <w:i w:val="false"/>
          <w:color w:val="000000"/>
          <w:sz w:val="22"/>
        </w:rPr>
        <w:t>A residential care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57.44(3)</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services. </w:t>
      </w:r>
      <w:r>
        <w:rPr>
          <w:rFonts w:ascii="Times New Roman" w:hAnsi="Times New Roman"/>
          <w:b w:val="false"/>
          <w:i w:val="false"/>
          <w:color w:val="000000"/>
          <w:sz w:val="22"/>
        </w:rPr>
        <w:t xml:space="preserve">The facility may terminate the respite services for a respite care individual. Rule </w:t>
      </w:r>
      <w:hyperlink r:id="rId75">
        <w:r>
          <w:rPr>
            <w:rStyle w:val="Hyperlink"/>
            <w:rFonts w:ascii="Times New Roman" w:hAnsi="Times New Roman"/>
            <w:b w:val="false"/>
            <w:i w:val="false"/>
            <w:color w:val="000000"/>
            <w:sz w:val="22"/>
          </w:rPr>
          <w:t>481—57.14</w:t>
        </w:r>
      </w:hyperlink>
      <w:r>
        <w:rPr>
          <w:rFonts w:ascii="Times New Roman" w:hAnsi="Times New Roman"/>
          <w:b w:val="false"/>
          <w:i w:val="false"/>
          <w:color w:val="000000"/>
          <w:sz w:val="22"/>
        </w:rPr>
        <w:t>(135C) shall not apply. The facility shall make proper arrangements for the welfare of the respite care individual prior to involuntary termination of respite services, including notification of the respite care individual’s family or legal representative.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57.44(4)</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 xml:space="preserve">Pursuant to rule </w:t>
      </w:r>
      <w:hyperlink r:id="rId76">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(135C), the facility shall have a contract with each resident in the facility. When an individual is there for respite care services, the contract shall specify the time period during which the individual will be considered to be receiving respite care services. At the end of that period, the contract may be amended to extend that period of time. The contract shall specifically state that respite care services may be involuntarily terminated. The contract shall meet other requirements under rule </w:t>
      </w:r>
      <w:hyperlink r:id="rId77">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(135C), except the requirements under subrule </w:t>
      </w:r>
      <w:hyperlink r:id="rId78">
        <w:r>
          <w:rPr>
            <w:rStyle w:val="Hyperlink"/>
            <w:rFonts w:ascii="Times New Roman" w:hAnsi="Times New Roman"/>
            <w:b w:val="false"/>
            <w:i w:val="false"/>
            <w:color w:val="000000"/>
            <w:sz w:val="22"/>
          </w:rPr>
          <w:t>57.15(7)</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57.44(5)</w:t>
      </w:r>
      <w:r>
        <w:rPr>
          <w:rFonts w:ascii="Times New Roman" w:hAnsi="Times New Roman"/>
          <w:b w:val="false"/>
          <w:i w:val="false"/>
          <w:color w:val="000000"/>
          <w:sz w:val="22"/>
        </w:rPr>
        <w:t> </w:t>
      </w:r>
      <w:r>
        <w:rPr>
          <w:rFonts w:ascii="Times New Roman" w:hAnsi="Times New Roman"/>
          <w:b w:val="false"/>
          <w:i/>
          <w:color w:val="000000"/>
          <w:sz w:val="22"/>
        </w:rPr>
        <w:t xml:space="preserve">Admission as a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being cared for under a respite care contract shall not be considered an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respite care individual shall be included in the facility’s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enter into multiple 30-day contracts with an individual being cared for under a respite care contract in order to lengthen the individual’s stay at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being cared for under a respite care contract remains in the facility beyond 30 consecutive days and is eligible for admission, the department shall consider the individual a resident in the facility. The facility shall follow all requirements for the individual’s admission to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57.44(6)</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Respite care services shall not be provided by a health care facility to persons requiring a level of care which is higher than the level of care the facility is licensed to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The reporting requirements of rule </w:t>
      </w:r>
      <w:hyperlink r:id="rId79">
        <w:r>
          <w:rPr>
            <w:rStyle w:val="Hyperlink"/>
            <w:rFonts w:ascii="Times New Roman" w:hAnsi="Times New Roman"/>
            <w:b w:val="false"/>
            <w:i w:val="false"/>
            <w:color w:val="000000"/>
            <w:sz w:val="22"/>
          </w:rPr>
          <w:t>481—50.7</w:t>
        </w:r>
      </w:hyperlink>
      <w:r>
        <w:rPr>
          <w:rFonts w:ascii="Times New Roman" w:hAnsi="Times New Roman"/>
          <w:b w:val="false"/>
          <w:i w:val="false"/>
          <w:color w:val="000000"/>
          <w:sz w:val="22"/>
        </w:rPr>
        <w:t>(135C) shall apply to residents being cared for under a respite care contract.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0">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without Notice 2/4/77—published 2/23/77, effective 3/30/77]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3/12/87, Notice 1/28/87—published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5/21/93, Notice 11/25/92—published 6/9/93, effective 7/14/93]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1476C</w:t>
      </w:r>
      <w:r>
        <w:rPr>
          <w:rFonts w:ascii="Times New Roman" w:hAnsi="Times New Roman"/>
          <w:b w:val="false"/>
          <w:i w:val="false"/>
          <w:color w:val="000000"/>
          <w:sz w:val="21"/>
        </w:rPr>
        <w:t xml:space="preserve"> (Notice ARC 1413C,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1753C</w:t>
      </w:r>
      <w:r>
        <w:rPr>
          <w:rFonts w:ascii="Times New Roman" w:hAnsi="Times New Roman"/>
          <w:b w:val="false"/>
          <w:i w:val="false"/>
          <w:color w:val="000000"/>
          <w:sz w:val="21"/>
        </w:rPr>
        <w:t xml:space="preserve"> (Notice ARC 1649C,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2273C</w:t>
      </w:r>
      <w:r>
        <w:rPr>
          <w:rFonts w:ascii="Times New Roman" w:hAnsi="Times New Roman"/>
          <w:b w:val="false"/>
          <w:i w:val="false"/>
          <w:color w:val="000000"/>
          <w:sz w:val="21"/>
        </w:rPr>
        <w:t xml:space="preserve"> (Notice ARC 2162C,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3737C</w:t>
      </w:r>
      <w:r>
        <w:rPr>
          <w:rFonts w:ascii="Times New Roman" w:hAnsi="Times New Roman"/>
          <w:b w:val="false"/>
          <w:i w:val="false"/>
          <w:color w:val="000000"/>
          <w:sz w:val="21"/>
        </w:rPr>
        <w:t xml:space="preserve"> (Notice ARC 3472C, IAB 12/6/17)</w:t>
      </w:r>
      <w:r>
        <w:rPr>
          <w:rFonts w:ascii="Times New Roman" w:hAnsi="Times New Roman"/>
          <w:b w:val="false"/>
          <w:i w:val="false"/>
          <w:color w:val="000000"/>
          <w:sz w:val="21"/>
        </w:rPr>
        <w:t>, IAB 4/11/18, effective 5/16/18]</w:t>
      </w:r>
      <w:r>
        <w:br/>
      </w:r>
      <w:r>
        <w:rPr>
          <w:rFonts w:ascii="Times New Roman" w:hAnsi="Times New Roman"/>
          <w:b w:val="false"/>
          <w:i w:val="false"/>
          <w:color w:val="000000"/>
          <w:sz w:val="21"/>
        </w:rPr>
        <w:t>[Filed ARC 3738C</w:t>
      </w:r>
      <w:r>
        <w:rPr>
          <w:rFonts w:ascii="Times New Roman" w:hAnsi="Times New Roman"/>
          <w:b w:val="false"/>
          <w:i w:val="false"/>
          <w:color w:val="000000"/>
          <w:sz w:val="21"/>
        </w:rPr>
        <w:t xml:space="preserve"> (Notice ARC 3473C,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470—57.15(2)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81">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Effective date of 481—57.12(2)</w:t>
      </w:r>
      <w:r>
        <w:rPr>
          <w:rFonts w:ascii="Times New Roman" w:hAnsi="Times New Roman"/>
          <w:b w:val="false"/>
          <w:i/>
          <w:color w:val="000000"/>
          <w:sz w:val="22"/>
        </w:rPr>
        <w:t>“a,”</w:t>
      </w:r>
      <w:r>
        <w:rPr>
          <w:rFonts w:ascii="Times New Roman" w:hAnsi="Times New Roman"/>
          <w:b w:val="false"/>
          <w:i w:val="false"/>
          <w:color w:val="000000"/>
          <w:sz w:val="22"/>
        </w:rPr>
        <w:t xml:space="preserve"> last paragraph, delayed 70 days by the Administrative Rules Review Committee at its meeting held July 8, 1993.</w:t>
      </w:r>
      <w:r>
        <w:br/>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footerReference r:id="rId8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2.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ac/rule/481.57.15.pdf" Type="http://schemas.openxmlformats.org/officeDocument/2006/relationships/hyperlink" Id="rId7"/>
    <Relationship TargetMode="External" Target="https://www.legis.iowa.gov/docs/iac/chapter/7.2504.pdf" Type="http://schemas.openxmlformats.org/officeDocument/2006/relationships/hyperlink" Id="rId8"/>
    <Relationship TargetMode="External" Target="https://www.legis.iowa.gov/docs/iac/chapter/481.50.pdf" Type="http://schemas.openxmlformats.org/officeDocument/2006/relationships/hyperlink" Id="rId9"/>
    <Relationship TargetMode="External" Target="https://www.legis.iowa.gov/docs/iac/chapter/481.57.pdf" Type="http://schemas.openxmlformats.org/officeDocument/2006/relationships/hyperlink" Id="rId10"/>
    <Relationship TargetMode="External" Target="https://www.legis.iowa.gov/docs/iac/chapter/481.60.pdf" Type="http://schemas.openxmlformats.org/officeDocument/2006/relationships/hyperlink" Id="rId11"/>
    <Relationship TargetMode="External" Target="https://www.legis.iowa.gov/docs/iac/rule/481.60.3.pdf" Type="http://schemas.openxmlformats.org/officeDocument/2006/relationships/hyperlink" Id="rId12"/>
    <Relationship TargetMode="External" Target="https://www.legis.iowa.gov/docs/iac/rule/481.57.3.pdf" Type="http://schemas.openxmlformats.org/officeDocument/2006/relationships/hyperlink" Id="rId13"/>
    <Relationship TargetMode="External" Target="https://www.legis.iowa.gov/docs/ico/chapter/135C.6.pdf" Type="http://schemas.openxmlformats.org/officeDocument/2006/relationships/hyperlink" Id="rId14"/>
    <Relationship TargetMode="External" Target="https://www.legis.iowa.gov/docs/ico/chapter/135C.14.pdf" Type="http://schemas.openxmlformats.org/officeDocument/2006/relationships/hyperlink" Id="rId15"/>
    <Relationship TargetMode="External" Target="https://www.legis.iowa.gov/docs/iac/chapter/481.60.pdf" Type="http://schemas.openxmlformats.org/officeDocument/2006/relationships/hyperlink" Id="rId16"/>
    <Relationship TargetMode="External" Target="https://www.legis.iowa.gov/docs/iac/rule/481.57.3.pdf" Type="http://schemas.openxmlformats.org/officeDocument/2006/relationships/hyperlink" Id="rId17"/>
    <Relationship TargetMode="External" Target="https://www.legis.iowa.gov/docs/iac/rule/481.57.6.pdf" Type="http://schemas.openxmlformats.org/officeDocument/2006/relationships/hyperlink" Id="rId18"/>
    <Relationship TargetMode="External" Target="https://www.legis.iowa.gov/docs/ico/chapter/135C.pdf" Type="http://schemas.openxmlformats.org/officeDocument/2006/relationships/hyperlink" Id="rId19"/>
    <Relationship TargetMode="External" Target="https://www.legis.iowa.gov/docs/iac/chapter/481.50.pdf" Type="http://schemas.openxmlformats.org/officeDocument/2006/relationships/hyperlink" Id="rId20"/>
    <Relationship TargetMode="External" Target="https://www.legis.iowa.gov/docs/iac/chapter/481.60.pdf" Type="http://schemas.openxmlformats.org/officeDocument/2006/relationships/hyperlink" Id="rId21"/>
    <Relationship TargetMode="External" Target="https://www.legis.iowa.gov/docs/iac/rule/481.57.10.pdf" Type="http://schemas.openxmlformats.org/officeDocument/2006/relationships/hyperlink" Id="rId22"/>
    <Relationship TargetMode="External" Target="https://www.legis.iowa.gov/docs/iac/rule/481.57.10.pdf" Type="http://schemas.openxmlformats.org/officeDocument/2006/relationships/hyperlink" Id="rId23"/>
    <Relationship TargetMode="External" Target="https://www.legis.iowa.gov/docs/ico/chapter/135C.pdf" Type="http://schemas.openxmlformats.org/officeDocument/2006/relationships/hyperlink" Id="rId24"/>
    <Relationship TargetMode="External" Target="https://www.legis.iowa.gov/docs/iac/chapter/481.50.pdf" Type="http://schemas.openxmlformats.org/officeDocument/2006/relationships/hyperlink" Id="rId25"/>
    <Relationship TargetMode="External" Target="https://www.legis.iowa.gov/docs/ico/chapter/135C.2.pdf" Type="http://schemas.openxmlformats.org/officeDocument/2006/relationships/hyperlink" Id="rId26"/>
    <Relationship TargetMode="External" Target="https://www.legis.iowa.gov/docs/ico/chapter/135C.14.pdf" Type="http://schemas.openxmlformats.org/officeDocument/2006/relationships/hyperlink" Id="rId27"/>
    <Relationship TargetMode="External" Target="https://www.legis.iowa.gov/docs/ico/chapter/231.45.pdf" Type="http://schemas.openxmlformats.org/officeDocument/2006/relationships/hyperlink" Id="rId28"/>
    <Relationship TargetMode="External" Target="https://www.legis.iowa.gov/docs/iac/rule/481.57.10.pdf" Type="http://schemas.openxmlformats.org/officeDocument/2006/relationships/hyperlink" Id="rId29"/>
    <Relationship TargetMode="External" Target="https://www.legis.iowa.gov/docs/iac/rule/481.57.10.pdf" Type="http://schemas.openxmlformats.org/officeDocument/2006/relationships/hyperlink" Id="rId30"/>
    <Relationship TargetMode="External" Target="https://www.legis.iowa.gov/docs/iac/rule/481.57.10.pdf" Type="http://schemas.openxmlformats.org/officeDocument/2006/relationships/hyperlink" Id="rId31"/>
    <Relationship TargetMode="External" Target="https://www.legis.iowa.gov/docs/ico/chapter/135C.33.pdf" Type="http://schemas.openxmlformats.org/officeDocument/2006/relationships/hyperlink" Id="rId32"/>
    <Relationship TargetMode="External" Target="https://www.legis.iowa.gov/docs/iac/rule/481.50.9.pdf" Type="http://schemas.openxmlformats.org/officeDocument/2006/relationships/hyperlink" Id="rId33"/>
    <Relationship TargetMode="External" Target="https://www.legis.iowa.gov/docs/iac/chapter/481.59.pdf" Type="http://schemas.openxmlformats.org/officeDocument/2006/relationships/hyperlink" Id="rId34"/>
    <Relationship TargetMode="External" Target="https://www.legis.iowa.gov/docs/ico/chapter/135C.16.pdf" Type="http://schemas.openxmlformats.org/officeDocument/2006/relationships/hyperlink" Id="rId35"/>
    <Relationship TargetMode="External" Target="https://www.legis.iowa.gov/docs/ico/chapter/229.pdf" Type="http://schemas.openxmlformats.org/officeDocument/2006/relationships/hyperlink" Id="rId36"/>
    <Relationship TargetMode="External" Target="https://www.legis.iowa.gov/docs/iac/rule/481.57.14.pdf" Type="http://schemas.openxmlformats.org/officeDocument/2006/relationships/hyperlink" Id="rId37"/>
    <Relationship TargetMode="External" Target="https://www.legis.iowa.gov/docs/iac/rule/481.57.14.pdf" Type="http://schemas.openxmlformats.org/officeDocument/2006/relationships/hyperlink" Id="rId38"/>
    <Relationship TargetMode="External" Target="https://www.legis.iowa.gov/docs/iac/rule/481.57.14.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ac/chapter/7.2506.pdf" Type="http://schemas.openxmlformats.org/officeDocument/2006/relationships/hyperlink" Id="rId41"/>
    <Relationship TargetMode="External" Target="https://www.legis.iowa.gov/docs/iac/rule/481.57.14.pdf" Type="http://schemas.openxmlformats.org/officeDocument/2006/relationships/hyperlink" Id="rId42"/>
    <Relationship TargetMode="External" Target="https://www.legis.iowa.gov/docs/iac/rule/481.57.14.pdf" Type="http://schemas.openxmlformats.org/officeDocument/2006/relationships/hyperlink" Id="rId43"/>
    <Relationship TargetMode="External" Target="https://www.legis.iowa.gov/docs/iac/rule/481.57.14.pdf" Type="http://schemas.openxmlformats.org/officeDocument/2006/relationships/hyperlink" Id="rId44"/>
    <Relationship TargetMode="External" Target="https://www.legis.iowa.gov/docs/ico/chapter/228.1.pdf" Type="http://schemas.openxmlformats.org/officeDocument/2006/relationships/hyperlink" Id="rId45"/>
    <Relationship TargetMode="External" Target="https://www.legis.iowa.gov/docs/iac/rule/481.57.14.pdf" Type="http://schemas.openxmlformats.org/officeDocument/2006/relationships/hyperlink" Id="rId46"/>
    <Relationship TargetMode="External" Target="https://www.legis.iowa.gov/docs/iac/rule/481.57.14.pdf" Type="http://schemas.openxmlformats.org/officeDocument/2006/relationships/hyperlink" Id="rId47"/>
    <Relationship TargetMode="External" Target="https://www.legis.iowa.gov/docs/iac/rule/481.57.14.pdf" Type="http://schemas.openxmlformats.org/officeDocument/2006/relationships/hyperlink" Id="rId48"/>
    <Relationship TargetMode="External" Target="https://www.legis.iowa.gov/docs/iac/chapter/481.59.pdf" Type="http://schemas.openxmlformats.org/officeDocument/2006/relationships/hyperlink" Id="rId49"/>
    <Relationship TargetMode="External" Target="https://www.legis.iowa.gov/docs/iac/rule/481.50.10.pdf" Type="http://schemas.openxmlformats.org/officeDocument/2006/relationships/hyperlink" Id="rId50"/>
    <Relationship TargetMode="External" Target="https://www.legis.iowa.gov/docs/iac/rule/481.57.19.pdf" Type="http://schemas.openxmlformats.org/officeDocument/2006/relationships/hyperlink" Id="rId51"/>
    <Relationship TargetMode="External" Target="https://www.legis.iowa.gov/docs/ico/chapter/124.pdf" Type="http://schemas.openxmlformats.org/officeDocument/2006/relationships/hyperlink" Id="rId52"/>
    <Relationship TargetMode="External" Target="https://www.legis.iowa.gov/docs/iac/rule/481.57.19.pdf" Type="http://schemas.openxmlformats.org/officeDocument/2006/relationships/hyperlink" Id="rId53"/>
    <Relationship TargetMode="External" Target="https://www.legis.iowa.gov/docs/iac/rule/481.57.19.pdf" Type="http://schemas.openxmlformats.org/officeDocument/2006/relationships/hyperlink" Id="rId54"/>
    <Relationship TargetMode="External" Target="https://www.legis.iowa.gov/docs/iac/rule/481.57.19.pdf" Type="http://schemas.openxmlformats.org/officeDocument/2006/relationships/hyperlink" Id="rId55"/>
    <Relationship TargetMode="External" Target="https://www.legis.iowa.gov/docs/iac/rule/481.57.19.pdf" Type="http://schemas.openxmlformats.org/officeDocument/2006/relationships/hyperlink" Id="rId56"/>
    <Relationship TargetMode="External" Target="https://www.legis.iowa.gov/docs/ico/chapter/137F.pdf" Type="http://schemas.openxmlformats.org/officeDocument/2006/relationships/hyperlink" Id="rId57"/>
    <Relationship TargetMode="External" Target="https://www.legis.iowa.gov/docs/iac/rule/481.57.21.pdf" Type="http://schemas.openxmlformats.org/officeDocument/2006/relationships/hyperlink" Id="rId58"/>
    <Relationship TargetMode="External" Target="https://www.legis.iowa.gov/docs/iac/rule/481.57.21.pdf" Type="http://schemas.openxmlformats.org/officeDocument/2006/relationships/hyperlink" Id="rId59"/>
    <Relationship TargetMode="External" Target="https://www.legis.iowa.gov/docs/ico/chapter/137F.2.pdf" Type="http://schemas.openxmlformats.org/officeDocument/2006/relationships/hyperlink" Id="rId60"/>
    <Relationship TargetMode="External" Target="https://www.legis.iowa.gov/docs/iac/rule/481.57.22.pdf" Type="http://schemas.openxmlformats.org/officeDocument/2006/relationships/hyperlink" Id="rId61"/>
    <Relationship TargetMode="External" Target="https://www.legis.iowa.gov/docs/ico/chapter/229.pdf" Type="http://schemas.openxmlformats.org/officeDocument/2006/relationships/hyperlink" Id="rId62"/>
    <Relationship TargetMode="External" Target="https://www.legis.iowa.gov/docs/ico/chapter/135C.46.pdf" Type="http://schemas.openxmlformats.org/officeDocument/2006/relationships/hyperlink" Id="rId63"/>
    <Relationship TargetMode="External" Target="https://www.legis.iowa.gov/docs/ico/chapter/144A.pdf" Type="http://schemas.openxmlformats.org/officeDocument/2006/relationships/hyperlink" Id="rId64"/>
    <Relationship TargetMode="External" Target="https://www.legis.iowa.gov/docs/ico/chapter/135C.24.pdf" Type="http://schemas.openxmlformats.org/officeDocument/2006/relationships/hyperlink" Id="rId65"/>
    <Relationship TargetMode="External" Target="https://www.legis.iowa.gov/docs/ico/chapter/135C.24.pdf" Type="http://schemas.openxmlformats.org/officeDocument/2006/relationships/hyperlink" Id="rId66"/>
    <Relationship TargetMode="External" Target="https://www.legis.iowa.gov/docs/ico/chapter/347B.5.pdf" Type="http://schemas.openxmlformats.org/officeDocument/2006/relationships/hyperlink" Id="rId67"/>
    <Relationship TargetMode="External" Target="https://www.legis.iowa.gov/docs/ico/chapter/235E.pdf" Type="http://schemas.openxmlformats.org/officeDocument/2006/relationships/hyperlink" Id="rId68"/>
    <Relationship TargetMode="External" Target="https://www.legis.iowa.gov/docs/iac/chapter/481.52.pdf" Type="http://schemas.openxmlformats.org/officeDocument/2006/relationships/hyperlink" Id="rId69"/>
    <Relationship TargetMode="External" Target="https://www.legis.iowa.gov/docs/ico/chapter/235B.16.pdf" Type="http://schemas.openxmlformats.org/officeDocument/2006/relationships/hyperlink" Id="rId70"/>
    <Relationship TargetMode="External" Target="https://www.legis.iowa.gov/docs/ico/chapter/142D.pdf" Type="http://schemas.openxmlformats.org/officeDocument/2006/relationships/hyperlink" Id="rId71"/>
    <Relationship TargetMode="External" Target="https://www.legis.iowa.gov/docs/iac/rule/481.57.43.pdf" Type="http://schemas.openxmlformats.org/officeDocument/2006/relationships/hyperlink" Id="rId72"/>
    <Relationship TargetMode="External" Target="https://www.legis.iowa.gov/docs/iac/chapter/481.60.pdf" Type="http://schemas.openxmlformats.org/officeDocument/2006/relationships/hyperlink" Id="rId73"/>
    <Relationship TargetMode="External" Target="https://www.legis.iowa.gov/docs/ico/chapter/225C.19A.pdf" Type="http://schemas.openxmlformats.org/officeDocument/2006/relationships/hyperlink" Id="rId74"/>
    <Relationship TargetMode="External" Target="https://www.legis.iowa.gov/docs/iac/rule/481.57.14.pdf" Type="http://schemas.openxmlformats.org/officeDocument/2006/relationships/hyperlink" Id="rId75"/>
    <Relationship TargetMode="External" Target="https://www.legis.iowa.gov/docs/iac/rule/481.57.15.pdf" Type="http://schemas.openxmlformats.org/officeDocument/2006/relationships/hyperlink" Id="rId76"/>
    <Relationship TargetMode="External" Target="https://www.legis.iowa.gov/docs/iac/rule/481.57.15.pdf" Type="http://schemas.openxmlformats.org/officeDocument/2006/relationships/hyperlink" Id="rId77"/>
    <Relationship TargetMode="External" Target="https://www.legis.iowa.gov/docs/iac/rule/481.57.15.pdf" Type="http://schemas.openxmlformats.org/officeDocument/2006/relationships/hyperlink" Id="rId78"/>
    <Relationship TargetMode="External" Target="https://www.legis.iowa.gov/docs/iac/rule/481.50.7.pdf" Type="http://schemas.openxmlformats.org/officeDocument/2006/relationships/hyperlink" Id="rId79"/>
    <Relationship TargetMode="External" Target="https://www.legis.iowa.gov/docs/ico/chapter/135C.14.pdf" Type="http://schemas.openxmlformats.org/officeDocument/2006/relationships/hyperlink" Id="rId80"/>
    <Relationship TargetMode="External" Target="https://www.legis.iowa.gov/docs/ico/chapter/17A.8.pdf" Type="http://schemas.openxmlformats.org/officeDocument/2006/relationships/hyperlink" Id="rId81"/>
    <Relationship Target="footer.xml" Type="http://schemas.openxmlformats.org/officeDocument/2006/relationships/footer"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