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FINING AND CITATIONS</w:t>
      </w:r>
    </w:p>
    <w:p>
      <w:pPr>
        <w:spacing w:before="0" w:after="0"/>
        <w:ind w:left="120"/>
        <w:jc w:val="center"/>
      </w:pPr>
      <w:r>
        <w:rPr>
          <w:rFonts w:ascii="Times New Roman" w:hAnsi="Times New Roman"/>
          <w:b w:val="false"/>
          <w:i w:val="false"/>
          <w:color w:val="000000"/>
          <w:sz w:val="14"/>
        </w:rPr>
        <w:t>[Prior to 7/15/87, Health Department[470]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481—56.1</w:t>
      </w:r>
      <w:r>
        <w:rPr>
          <w:rFonts w:ascii="Times New Roman" w:hAnsi="Times New Roman"/>
          <w:b/>
          <w:i w:val="false"/>
          <w:color w:val="000000"/>
          <w:sz w:val="22"/>
        </w:rPr>
        <w:t xml:space="preserve">(135C) </w:t>
      </w:r>
      <w:r>
        <w:rPr>
          <w:rFonts w:ascii="Times New Roman" w:hAnsi="Times New Roman"/>
          <w:b/>
          <w:i w:val="false"/>
          <w:color w:val="000000"/>
          <w:sz w:val="22"/>
        </w:rPr>
        <w:t xml:space="preserve">Authority for citations. </w:t>
      </w:r>
      <w:r>
        <w:rPr>
          <w:rFonts w:ascii="Times New Roman" w:hAnsi="Times New Roman"/>
          <w:b w:val="false"/>
          <w:i w:val="false"/>
          <w:color w:val="000000"/>
          <w:sz w:val="22"/>
        </w:rPr>
        <w:t>Pursuant to the authority vested in the director of the department of inspections and appeals to issue citations and assess penalties for violations of the statutes or departmental rules relating to the health care facilities, the following rules indicate the method by which citations may be issued when a particular statute or departmental rule is violated by a facility.</w:t>
      </w:r>
    </w:p>
    <w:p>
      <w:pPr>
        <w:spacing w:before="0" w:after="0"/>
        <w:ind w:left="120"/>
        <w:jc w:val="both"/>
      </w:pPr>
      <w:r>
        <w:rPr>
          <w:rFonts w:ascii="Times New Roman" w:hAnsi="Times New Roman"/>
          <w:b/>
          <w:i w:val="false"/>
          <w:color w:val="000000"/>
          <w:sz w:val="22"/>
        </w:rPr>
        <w:t>481—56.2</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Classification of violations—classes. </w:t>
      </w:r>
      <w:r>
        <w:rPr>
          <w:rFonts w:ascii="Times New Roman" w:hAnsi="Times New Roman"/>
          <w:b w:val="false"/>
          <w:i w:val="false"/>
          <w:color w:val="000000"/>
          <w:sz w:val="22"/>
        </w:rPr>
        <w:t>There are three classifications for violations of statutes or departmental rules which may result in the issuance of a citation by the director of inspections and appeals and the assessment of a penalty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color w:val="000000"/>
          <w:sz w:val="22"/>
        </w:rPr>
        <w:t xml:space="preserve">Class I. </w:t>
      </w:r>
      <w:r>
        <w:rPr>
          <w:rFonts w:ascii="Times New Roman" w:hAnsi="Times New Roman"/>
          <w:b w:val="false"/>
          <w:i w:val="false"/>
          <w:color w:val="000000"/>
          <w:sz w:val="22"/>
        </w:rPr>
        <w:t>A class I violation is one which presents an imminent danger or a substantial probability of resultant death or physical harm to the residents of the facility in which the violation occurs. A physical condition or one or more practices in a facility may constitute a class I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color w:val="000000"/>
          <w:sz w:val="22"/>
        </w:rPr>
        <w:t xml:space="preserve">Class II. </w:t>
      </w:r>
      <w:r>
        <w:rPr>
          <w:rFonts w:ascii="Times New Roman" w:hAnsi="Times New Roman"/>
          <w:b w:val="false"/>
          <w:i w:val="false"/>
          <w:color w:val="000000"/>
          <w:sz w:val="22"/>
        </w:rPr>
        <w:t>A class II violation is one that has a direct or immediate relationship to the health, safety, or security of residents of a health care facility, but which presents no imminent danger nor substantial probability of death or physical harm to them. A physical condition or one or more practices within a facility, including either physical abuse of any resident or failure to treat any resident with consideration, respect, and full recognition of the resident’s dignity and individuality, in violation of a specific rule adopted by the department, may constitute a class II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56.2(3)</w:t>
      </w:r>
      <w:r>
        <w:rPr>
          <w:rFonts w:ascii="Times New Roman" w:hAnsi="Times New Roman"/>
          <w:b w:val="false"/>
          <w:i w:val="false"/>
          <w:color w:val="000000"/>
          <w:sz w:val="22"/>
        </w:rPr>
        <w:t> </w:t>
      </w:r>
      <w:r>
        <w:rPr>
          <w:rFonts w:ascii="Times New Roman" w:hAnsi="Times New Roman"/>
          <w:b w:val="false"/>
          <w:i/>
          <w:color w:val="000000"/>
          <w:sz w:val="22"/>
        </w:rPr>
        <w:t xml:space="preserve">Class III. </w:t>
      </w:r>
      <w:r>
        <w:rPr>
          <w:rFonts w:ascii="Times New Roman" w:hAnsi="Times New Roman"/>
          <w:b w:val="false"/>
          <w:i w:val="false"/>
          <w:color w:val="000000"/>
          <w:sz w:val="22"/>
        </w:rPr>
        <w:t>A class III violation is one which is not classifiable in the department’s rules nor classifiable under the criteria stated in those rules as a class I or class II violation.</w:t>
      </w:r>
    </w:p>
    <w:p>
      <w:pPr>
        <w:spacing w:before="0" w:after="0"/>
        <w:ind w:left="120"/>
        <w:jc w:val="both"/>
      </w:pPr>
      <w:r>
        <w:rPr>
          <w:rFonts w:ascii="Times New Roman" w:hAnsi="Times New Roman"/>
          <w:b/>
          <w:i w:val="false"/>
          <w:color w:val="000000"/>
          <w:sz w:val="22"/>
        </w:rPr>
        <w:t>481—56.3</w:t>
      </w:r>
      <w:r>
        <w:rPr>
          <w:rFonts w:ascii="Times New Roman" w:hAnsi="Times New Roman"/>
          <w:b/>
          <w:i w:val="false"/>
          <w:color w:val="000000"/>
          <w:sz w:val="22"/>
        </w:rPr>
        <w:t xml:space="preserve">(135C) </w:t>
      </w:r>
      <w:r>
        <w:rPr>
          <w:rFonts w:ascii="Times New Roman" w:hAnsi="Times New Roman"/>
          <w:b/>
          <w:i w:val="false"/>
          <w:color w:val="000000"/>
          <w:sz w:val="22"/>
        </w:rPr>
        <w:t xml:space="preserve">Fines. </w:t>
      </w:r>
      <w:r>
        <w:rPr>
          <w:rFonts w:ascii="Times New Roman" w:hAnsi="Times New Roman"/>
          <w:b w:val="false"/>
          <w:i w:val="false"/>
          <w:color w:val="000000"/>
          <w:sz w:val="22"/>
        </w:rPr>
        <w:t>Citations which are issued by the director of the department of inspections and appeals for violations of the statutes or rules relating to health care facilities will subject the facility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 violation. </w:t>
      </w:r>
      <w:r>
        <w:rPr>
          <w:rFonts w:ascii="Times New Roman" w:hAnsi="Times New Roman"/>
          <w:b w:val="false"/>
          <w:i w:val="false"/>
          <w:color w:val="000000"/>
          <w:sz w:val="22"/>
        </w:rPr>
        <w:t xml:space="preserve">The penalty shall not be less than $2,000 nor more than $10,000. The penalty for a class I violation shall be doubled when the violation is due to an intentional act by the facility in violation of a provision of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a rule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 violation. </w:t>
      </w:r>
      <w:r>
        <w:rPr>
          <w:rFonts w:ascii="Times New Roman" w:hAnsi="Times New Roman"/>
          <w:b w:val="false"/>
          <w:i w:val="false"/>
          <w:color w:val="000000"/>
          <w:sz w:val="22"/>
        </w:rPr>
        <w:t xml:space="preserve">The penalty shall not be less than $100 nor more than $500. Using the criteria established in paragraph </w:t>
      </w:r>
      <w:hyperlink r:id="rId6">
        <w:r>
          <w:rPr>
            <w:rStyle w:val="Hyperlink"/>
            <w:rFonts w:ascii="Times New Roman" w:hAnsi="Times New Roman"/>
            <w:b w:val="false"/>
            <w:i w:val="false"/>
            <w:color w:val="000000"/>
            <w:sz w:val="22"/>
          </w:rPr>
          <w:t>56.3(2)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director of the department of inspections and appeals may, upon written request, waive the penalty if the class II violation is corrected within the time specified in the citation. The director shall not waive penalties related to the items listed in subrule </w:t>
      </w:r>
      <w:hyperlink r:id="rId7">
        <w:r>
          <w:rPr>
            <w:rStyle w:val="Hyperlink"/>
            <w:rFonts w:ascii="Times New Roman" w:hAnsi="Times New Roman"/>
            <w:b w:val="false"/>
            <w:i w:val="false"/>
            <w:color w:val="000000"/>
            <w:sz w:val="22"/>
          </w:rPr>
          <w:t>56.3(4)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waiving the penalty for a class II violation. </w:t>
      </w:r>
      <w:r>
        <w:rPr>
          <w:rFonts w:ascii="Times New Roman" w:hAnsi="Times New Roman"/>
          <w:b w:val="false"/>
          <w:i w:val="false"/>
          <w:color w:val="000000"/>
          <w:sz w:val="22"/>
        </w:rPr>
        <w:t>The director shall consider the following criteria, among others, when deciding whether to grant a waiver of a class II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facility within the last 24 months of the violation as it relates to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residents to make informed decisions with their doctor(s) and family/legal representative(s);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hardship the fine will cause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a waiver of the penalty for a class II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shall submit documentation that supports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facility has requested a waiver based on financial hardship, the facility must provide proof of the hardship for the individual facility, along with the parent corporation, if any. Supporting documentation shall, at minimum, include the facility’s, and the parent corporation’s, if any, most recent profit and loss statement and balance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waiver shall be submitted within ten working days of receipt by the facility of the notice that the violation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decision on the waiver request or request additional information, if necessary, within ten working days of receipt of a waiver request and shall notify the facility in writing of the department’s determination by personal service, by electronic mail, or by certified mail. If additional information is requested, such information shall be provided by the facility within five working days. If additional information is necessary, the department shall make a decision on the waiver request within ten working days of receipt of the additional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waiver request is granted and the facility has paid the penalty, the facility shall be refunded the amount of the penalty paid that was subject to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Denial of penalty waiver request for a class II violation. </w:t>
      </w:r>
      <w:r>
        <w:rPr>
          <w:rFonts w:ascii="Times New Roman" w:hAnsi="Times New Roman"/>
          <w:b w:val="false"/>
          <w:i w:val="false"/>
          <w:color w:val="000000"/>
          <w:sz w:val="22"/>
        </w:rPr>
        <w:t>The director’s decision to deny a waiver request is not subject to appeal. The underlying citation or state statement of deficiencies is eligible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III violation. </w:t>
      </w:r>
      <w:r>
        <w:rPr>
          <w:rFonts w:ascii="Times New Roman" w:hAnsi="Times New Roman"/>
          <w:b w:val="false"/>
          <w:i w:val="false"/>
          <w:color w:val="000000"/>
          <w:sz w:val="22"/>
        </w:rPr>
        <w:t xml:space="preserve">No penalty shall be assessed for a class III violation except as provided in rule </w:t>
      </w:r>
      <w:hyperlink r:id="rId8">
        <w:r>
          <w:rPr>
            <w:rStyle w:val="Hyperlink"/>
            <w:rFonts w:ascii="Times New Roman" w:hAnsi="Times New Roman"/>
            <w:b w:val="false"/>
            <w:i w:val="false"/>
            <w:color w:val="000000"/>
            <w:sz w:val="22"/>
          </w:rPr>
          <w:t>481—56.5</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56.3(4)</w:t>
      </w:r>
      <w:r>
        <w:rPr>
          <w:rFonts w:ascii="Times New Roman" w:hAnsi="Times New Roman"/>
          <w:b w:val="false"/>
          <w:i w:val="false"/>
          <w:color w:val="000000"/>
          <w:sz w:val="22"/>
        </w:rPr>
        <w:t> </w:t>
      </w:r>
      <w:r>
        <w:rPr>
          <w:rFonts w:ascii="Times New Roman" w:hAnsi="Times New Roman"/>
          <w:b w:val="false"/>
          <w:i/>
          <w:color w:val="000000"/>
          <w:sz w:val="22"/>
        </w:rPr>
        <w:t xml:space="preserve">Self-identification and correction of a class II or class III violation prior to the on-site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Self-identification and correction. </w:t>
      </w:r>
      <w:r>
        <w:rPr>
          <w:rFonts w:ascii="Times New Roman" w:hAnsi="Times New Roman"/>
          <w:b w:val="false"/>
          <w:i w:val="false"/>
          <w:color w:val="000000"/>
          <w:sz w:val="22"/>
        </w:rPr>
        <w:t xml:space="preserve">If a facility self-identifies a deficient practice prior to the on-site visit inspection, there has been no complaint filed with the department related to that specific deficient practice, and the facility corrects such practice prior to an inspection, no citation shall be issued or fine assessed for class II or III violations except as identified in Iowa Code section </w:t>
      </w:r>
      <w:hyperlink r:id="rId9">
        <w:r>
          <w:rPr>
            <w:rStyle w:val="Hyperlink"/>
            <w:rFonts w:ascii="Times New Roman" w:hAnsi="Times New Roman"/>
            <w:b w:val="false"/>
            <w:i w:val="false"/>
            <w:color w:val="000000"/>
            <w:sz w:val="22"/>
          </w:rPr>
          <w:t>135C.36(5)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documenting self-identification. </w:t>
      </w:r>
      <w:r>
        <w:rPr>
          <w:rFonts w:ascii="Times New Roman" w:hAnsi="Times New Roman"/>
          <w:b w:val="false"/>
          <w:i w:val="false"/>
          <w:color w:val="000000"/>
          <w:sz w:val="22"/>
        </w:rPr>
        <w:t xml:space="preserve">If, during the inspection, an area of concern is identified to the facility that was self-identified and corrected by the facility prior to the inspection, no complaint has been filed, and the violation does not fall in the exemptions listed in Iowa Code section </w:t>
      </w:r>
      <w:hyperlink r:id="rId10">
        <w:r>
          <w:rPr>
            <w:rStyle w:val="Hyperlink"/>
            <w:rFonts w:ascii="Times New Roman" w:hAnsi="Times New Roman"/>
            <w:b w:val="false"/>
            <w:i w:val="false"/>
            <w:color w:val="000000"/>
            <w:sz w:val="22"/>
          </w:rPr>
          <w:t>135C.36(5)</w:t>
        </w:r>
      </w:hyperlink>
      <w:r>
        <w:rPr>
          <w:rFonts w:ascii="Times New Roman" w:hAnsi="Times New Roman"/>
          <w:b w:val="false"/>
          <w:i w:val="false"/>
          <w:color w:val="000000"/>
          <w:sz w:val="22"/>
        </w:rPr>
        <w:t>, the facility shall complete a “Self-Identification and Correction Form” and submit it to the inspector(s) prior to the conclusion of the inspection, or to the department within two working days of the exit interview via email, facsimile, or overnight courier. The 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problem was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identified the problem, i.e., family, resident, staff, physician,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Action steps taken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facility determined correction was completed;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documentation that substantiates the above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56.3(5)</w:t>
      </w:r>
      <w:r>
        <w:rPr>
          <w:rFonts w:ascii="Times New Roman" w:hAnsi="Times New Roman"/>
          <w:b w:val="false"/>
          <w:i w:val="false"/>
          <w:color w:val="000000"/>
          <w:sz w:val="22"/>
        </w:rPr>
        <w:t> </w:t>
      </w:r>
      <w:r>
        <w:rPr>
          <w:rFonts w:ascii="Times New Roman" w:hAnsi="Times New Roman"/>
          <w:b w:val="false"/>
          <w:i/>
          <w:color w:val="000000"/>
          <w:sz w:val="22"/>
        </w:rPr>
        <w:t xml:space="preserve">State penalty dismissed if the corresponding federal deficiency or citation is dismissed or removed. </w:t>
      </w:r>
      <w:r>
        <w:rPr>
          <w:rFonts w:ascii="Times New Roman" w:hAnsi="Times New Roman"/>
          <w:b w:val="false"/>
          <w:i w:val="false"/>
          <w:color w:val="000000"/>
          <w:sz w:val="22"/>
        </w:rPr>
        <w:t>Any state penalty, including a fine or citation, issued as a result of a joint state and federal survey and certification process shall be dismissed if the corresponding federal deficiency or citation is dismissed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federal deficiency is dismissed or removed during the federal informal dispute resolution process, the department shall remove any corresponding state fine, citation or deficiency within 20 working days of issuance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federal deficiency is dismissed or removed at the conclusion of the federal administrative hearing process, the facility shall submit to the department a copy of the decision, along with a written request for the removal of the corresponding state fine, citation, or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state penalty, including a fine or citation, shall be retained or reinstated if the federal deficiency is retained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56.3(6)</w:t>
      </w:r>
      <w:r>
        <w:rPr>
          <w:rFonts w:ascii="Times New Roman" w:hAnsi="Times New Roman"/>
          <w:b w:val="false"/>
          <w:i w:val="false"/>
          <w:color w:val="000000"/>
          <w:sz w:val="22"/>
        </w:rPr>
        <w:t> </w:t>
      </w:r>
      <w:r>
        <w:rPr>
          <w:rFonts w:ascii="Times New Roman" w:hAnsi="Times New Roman"/>
          <w:b w:val="false"/>
          <w:i/>
          <w:color w:val="000000"/>
          <w:sz w:val="22"/>
        </w:rPr>
        <w:t xml:space="preserve">Reduction of fine amount by 35 percent. </w:t>
      </w:r>
      <w:r>
        <w:rPr>
          <w:rFonts w:ascii="Times New Roman" w:hAnsi="Times New Roman"/>
          <w:b w:val="false"/>
          <w:i w:val="false"/>
          <w:color w:val="000000"/>
          <w:sz w:val="22"/>
        </w:rPr>
        <w:t xml:space="preserve">If a facility has been assessed a penalty, does not request a formal hearing pursuant to Iowa Code section </w:t>
      </w:r>
      <w:hyperlink r:id="rId11">
        <w:r>
          <w:rPr>
            <w:rStyle w:val="Hyperlink"/>
            <w:rFonts w:ascii="Times New Roman" w:hAnsi="Times New Roman"/>
            <w:b w:val="false"/>
            <w:i w:val="false"/>
            <w:color w:val="000000"/>
            <w:sz w:val="22"/>
          </w:rPr>
          <w:t>135C.43</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481—56.17</w:t>
        </w:r>
      </w:hyperlink>
      <w:r>
        <w:rPr>
          <w:rFonts w:ascii="Times New Roman" w:hAnsi="Times New Roman"/>
          <w:b w:val="false"/>
          <w:i w:val="false"/>
          <w:color w:val="000000"/>
          <w:sz w:val="22"/>
        </w:rPr>
        <w:t>(135C), or withdraws its request for a formal hearing within 30 days of the date that the penalty was assessed, and the penalty is paid within 30 days of receipt of notice or service, the amount of the civil penalty shall be reduced by 35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7005C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481—56.4</w:t>
      </w:r>
      <w:r>
        <w:rPr>
          <w:rFonts w:ascii="Times New Roman" w:hAnsi="Times New Roman"/>
          <w:b/>
          <w:i w:val="false"/>
          <w:color w:val="000000"/>
          <w:sz w:val="22"/>
        </w:rPr>
        <w:t xml:space="preserve">(135C) </w:t>
      </w:r>
      <w:r>
        <w:rPr>
          <w:rFonts w:ascii="Times New Roman" w:hAnsi="Times New Roman"/>
          <w:b/>
          <w:i w:val="false"/>
          <w:color w:val="000000"/>
          <w:sz w:val="22"/>
        </w:rPr>
        <w:t xml:space="preserve">Time for compliance. </w:t>
      </w:r>
      <w:r>
        <w:rPr>
          <w:rFonts w:ascii="Times New Roman" w:hAnsi="Times New Roman"/>
          <w:b w:val="false"/>
          <w:i w:val="false"/>
          <w:color w:val="000000"/>
          <w:sz w:val="22"/>
        </w:rPr>
        <w:t>Citations which are issued by the director of the department of inspections and appeals for violations of the statutes or rules related to health care facilities shall specify the length of time permitted for the violation to be abated or eliminated,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 violation: </w:t>
      </w:r>
      <w:r>
        <w:rPr>
          <w:rFonts w:ascii="Times New Roman" w:hAnsi="Times New Roman"/>
          <w:b w:val="false"/>
          <w:i w:val="false"/>
          <w:color w:val="000000"/>
          <w:sz w:val="22"/>
        </w:rPr>
        <w:t>The violation shall be abated or eliminated immediately, unless the department determines that a stated period of time, specified in the citation, is required to correct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 violation: </w:t>
      </w:r>
      <w:r>
        <w:rPr>
          <w:rFonts w:ascii="Times New Roman" w:hAnsi="Times New Roman"/>
          <w:b w:val="false"/>
          <w:i w:val="false"/>
          <w:color w:val="000000"/>
          <w:sz w:val="22"/>
        </w:rPr>
        <w:t>The violation shall be corrected within a stated period of time determined by the department and specified in the citation. The stated period of time specified in the citation may subsequently be modified by the department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III violation: </w:t>
      </w:r>
      <w:r>
        <w:rPr>
          <w:rFonts w:ascii="Times New Roman" w:hAnsi="Times New Roman"/>
          <w:b w:val="false"/>
          <w:i w:val="false"/>
          <w:color w:val="000000"/>
          <w:sz w:val="22"/>
        </w:rPr>
        <w:t>The violation shall be corrected within a reasonable time specified by the department in the citation.</w:t>
      </w:r>
    </w:p>
    <w:p>
      <w:pPr>
        <w:spacing w:before="210" w:after="0"/>
        <w:ind w:left="120"/>
        <w:jc w:val="both"/>
      </w:pPr>
      <w:r>
        <w:rPr>
          <w:rFonts w:ascii="Times New Roman" w:hAnsi="Times New Roman"/>
          <w:b/>
          <w:i w:val="false"/>
          <w:color w:val="000000"/>
          <w:sz w:val="22"/>
        </w:rPr>
        <w:t>481—56.5</w:t>
      </w:r>
      <w:r>
        <w:rPr>
          <w:rFonts w:ascii="Times New Roman" w:hAnsi="Times New Roman"/>
          <w:b/>
          <w:i w:val="false"/>
          <w:color w:val="000000"/>
          <w:sz w:val="22"/>
        </w:rPr>
        <w:t xml:space="preserve">(135C) </w:t>
      </w:r>
      <w:r>
        <w:rPr>
          <w:rFonts w:ascii="Times New Roman" w:hAnsi="Times New Roman"/>
          <w:b/>
          <w:i w:val="false"/>
          <w:color w:val="000000"/>
          <w:sz w:val="22"/>
        </w:rPr>
        <w:t xml:space="preserve">Failure to correct a violation within the time specified—penalty. </w:t>
      </w:r>
      <w:r>
        <w:rPr>
          <w:rFonts w:ascii="Times New Roman" w:hAnsi="Times New Roman"/>
          <w:b w:val="false"/>
          <w:i w:val="false"/>
          <w:color w:val="000000"/>
          <w:sz w:val="22"/>
        </w:rPr>
        <w:t>Failure to correct any class of violation within the time specified in the citation, unless the licensee shows that the failure was due to circumstances beyond the licensee’s control, shall subject the facility to a further penalty of $50 for each day that the violation continues after the time specified for correction.</w:t>
      </w:r>
    </w:p>
    <w:p>
      <w:pPr>
        <w:spacing w:before="0" w:after="0"/>
        <w:ind w:left="120"/>
        <w:jc w:val="both"/>
      </w:pPr>
      <w:r>
        <w:rPr>
          <w:rFonts w:ascii="Times New Roman" w:hAnsi="Times New Roman"/>
          <w:b/>
          <w:i w:val="false"/>
          <w:color w:val="000000"/>
          <w:sz w:val="22"/>
        </w:rPr>
        <w:t>481—56.6</w:t>
      </w:r>
      <w:r>
        <w:rPr>
          <w:rFonts w:ascii="Times New Roman" w:hAnsi="Times New Roman"/>
          <w:b/>
          <w:i w:val="false"/>
          <w:color w:val="000000"/>
          <w:sz w:val="22"/>
        </w:rPr>
        <w:t xml:space="preserve">(135C) </w:t>
      </w:r>
      <w:r>
        <w:rPr>
          <w:rFonts w:ascii="Times New Roman" w:hAnsi="Times New Roman"/>
          <w:b/>
          <w:i w:val="false"/>
          <w:color w:val="000000"/>
          <w:sz w:val="22"/>
        </w:rPr>
        <w:t xml:space="preserve">Treble and double fines.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color w:val="000000"/>
          <w:sz w:val="22"/>
        </w:rPr>
        <w:t xml:space="preserve">Treble fines for repeated violations. </w:t>
      </w:r>
      <w:r>
        <w:rPr>
          <w:rFonts w:ascii="Times New Roman" w:hAnsi="Times New Roman"/>
          <w:b w:val="false"/>
          <w:i w:val="false"/>
          <w:color w:val="000000"/>
          <w:sz w:val="22"/>
        </w:rPr>
        <w:t xml:space="preserve">The director of the department of inspections and appeals shall treble the penalties specified in rule </w:t>
      </w:r>
      <w:hyperlink r:id="rId13">
        <w:r>
          <w:rPr>
            <w:rStyle w:val="Hyperlink"/>
            <w:rFonts w:ascii="Times New Roman" w:hAnsi="Times New Roman"/>
            <w:b w:val="false"/>
            <w:i w:val="false"/>
            <w:color w:val="000000"/>
            <w:sz w:val="22"/>
          </w:rPr>
          <w:t>481—56.3</w:t>
        </w:r>
      </w:hyperlink>
      <w:r>
        <w:rPr>
          <w:rFonts w:ascii="Times New Roman" w:hAnsi="Times New Roman"/>
          <w:b w:val="false"/>
          <w:i w:val="false"/>
          <w:color w:val="000000"/>
          <w:sz w:val="22"/>
        </w:rPr>
        <w:t>(135C) for any second or subsequent class I or class II violation occurring within any 12-month period, if a citation was issued for the same class I or class II violation occurring within that period and a penalty was assessed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color w:val="000000"/>
          <w:sz w:val="22"/>
        </w:rPr>
        <w:t xml:space="preserve">Double fines for intentional class I violations. </w:t>
      </w:r>
      <w:r>
        <w:rPr>
          <w:rFonts w:ascii="Times New Roman" w:hAnsi="Times New Roman"/>
          <w:b w:val="false"/>
          <w:i w:val="false"/>
          <w:color w:val="000000"/>
          <w:sz w:val="22"/>
        </w:rPr>
        <w:t xml:space="preserve">The director of the department of inspections and appeals shall double the penalties specified in subrule </w:t>
      </w:r>
      <w:hyperlink r:id="rId14">
        <w:r>
          <w:rPr>
            <w:rStyle w:val="Hyperlink"/>
            <w:rFonts w:ascii="Times New Roman" w:hAnsi="Times New Roman"/>
            <w:b w:val="false"/>
            <w:i w:val="false"/>
            <w:color w:val="000000"/>
            <w:sz w:val="22"/>
          </w:rPr>
          <w:t>56.3(1)</w:t>
        </w:r>
      </w:hyperlink>
      <w:r>
        <w:rPr>
          <w:rFonts w:ascii="Times New Roman" w:hAnsi="Times New Roman"/>
          <w:b w:val="false"/>
          <w:i w:val="false"/>
          <w:color w:val="000000"/>
          <w:sz w:val="22"/>
        </w:rPr>
        <w:t xml:space="preserve"> when the violation is due to an intentional act by the facility in violation of a provision of Iowa Code chapter </w:t>
      </w:r>
      <w:hyperlink r:id="rId1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“intentional” means doing an act voluntarily, not by mistake or accident, and doing the act with a specific purpose in mind.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and circumstances surrounding the act shall be considered when determining whether the act was done intentionally.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assumed that a person intends the natural results of the person’s 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481—56.7</w:t>
      </w:r>
      <w:r>
        <w:rPr>
          <w:rFonts w:ascii="Times New Roman" w:hAnsi="Times New Roman"/>
          <w:b/>
          <w:i w:val="false"/>
          <w:color w:val="000000"/>
          <w:sz w:val="22"/>
        </w:rPr>
        <w:t xml:space="preserve">(135C) </w:t>
      </w:r>
      <w:r>
        <w:rPr>
          <w:rFonts w:ascii="Times New Roman" w:hAnsi="Times New Roman"/>
          <w:b/>
          <w:i w:val="false"/>
          <w:color w:val="000000"/>
          <w:sz w:val="22"/>
        </w:rPr>
        <w:t xml:space="preserve">Notation of classes of violations. </w:t>
      </w:r>
      <w:r>
        <w:rPr>
          <w:rFonts w:ascii="Times New Roman" w:hAnsi="Times New Roman"/>
          <w:b w:val="false"/>
          <w:i w:val="false"/>
          <w:color w:val="000000"/>
          <w:sz w:val="22"/>
        </w:rPr>
        <w:t>All rules relating to health care facilities, other than those which are informational in character, shall be followed by a notation at the end of each rule, or pertinent part thereof. This notation shall consist of a Roman numeral or numerals in parentheses. These Roman numerals refer to the class (either class I, class II, or class III) of violation which may be cited by the director of the department of inspections and appeals when that rule or a part of that rule carrying the notation is violated by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3390C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481—56.8</w:t>
      </w:r>
      <w:r>
        <w:rPr>
          <w:rFonts w:ascii="Times New Roman" w:hAnsi="Times New Roman"/>
          <w:b/>
          <w:i w:val="false"/>
          <w:color w:val="000000"/>
          <w:sz w:val="22"/>
        </w:rPr>
        <w:t xml:space="preserve">(135C) </w:t>
      </w:r>
      <w:r>
        <w:rPr>
          <w:rFonts w:ascii="Times New Roman" w:hAnsi="Times New Roman"/>
          <w:b/>
          <w:i w:val="false"/>
          <w:color w:val="000000"/>
          <w:sz w:val="22"/>
        </w:rPr>
        <w:t xml:space="preserve">Notation for more than one class of violation. </w:t>
      </w:r>
      <w:r>
        <w:rPr>
          <w:rFonts w:ascii="Times New Roman" w:hAnsi="Times New Roman"/>
          <w:b w:val="false"/>
          <w:i w:val="false"/>
          <w:color w:val="000000"/>
          <w:sz w:val="22"/>
        </w:rPr>
        <w:t>In those instances where a particular rule, or part of a rule is followed by a notation consisting of more than one Roman numeral in parentheses, at the discretion of the director of the department of inspections and appeals, the director may issue a citation for a violation of that rule, or part thereof, designating any one of the multiple classes of violations specified in the notation.</w:t>
      </w:r>
    </w:p>
    <w:p>
      <w:pPr>
        <w:spacing w:before="0" w:after="0"/>
        <w:ind w:left="120"/>
        <w:jc w:val="both"/>
      </w:pPr>
      <w:r>
        <w:rPr>
          <w:rFonts w:ascii="Times New Roman" w:hAnsi="Times New Roman"/>
          <w:b/>
          <w:i w:val="false"/>
          <w:color w:val="000000"/>
          <w:sz w:val="22"/>
        </w:rPr>
        <w:t>481—56.9</w:t>
      </w:r>
      <w:r>
        <w:rPr>
          <w:rFonts w:ascii="Times New Roman" w:hAnsi="Times New Roman"/>
          <w:b/>
          <w:i w:val="false"/>
          <w:color w:val="000000"/>
          <w:sz w:val="22"/>
        </w:rPr>
        <w:t xml:space="preserve">(135C) </w:t>
      </w:r>
      <w:r>
        <w:rPr>
          <w:rFonts w:ascii="Times New Roman" w:hAnsi="Times New Roman"/>
          <w:b/>
          <w:i w:val="false"/>
          <w:color w:val="000000"/>
          <w:sz w:val="22"/>
        </w:rPr>
        <w:t xml:space="preserve">Factors determining selection of class of violation. </w:t>
      </w:r>
      <w:r>
        <w:rPr>
          <w:rFonts w:ascii="Times New Roman" w:hAnsi="Times New Roman"/>
          <w:b w:val="false"/>
          <w:i w:val="false"/>
          <w:color w:val="000000"/>
          <w:sz w:val="22"/>
        </w:rPr>
        <w:t>In determining which class of violation will be designated in the citation, where more than one class is specified in the notation following the rule, the director of the department of inspections and appeals shall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56.9(1)</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violation occurred, i.e., whether the violation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56.9(2)</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facility within 24 months of the violation as it relates to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56.9(3)</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facility as it relates to the reasons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56.9(4)</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residents or the effect on the health, safety, or security of the residents which resulted from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violation to any other types of violations which have occurred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56.9(6)</w:t>
      </w:r>
      <w:r>
        <w:rPr>
          <w:rFonts w:ascii="Times New Roman" w:hAnsi="Times New Roman"/>
          <w:b w:val="false"/>
          <w:i w:val="false"/>
          <w:color w:val="000000"/>
          <w:sz w:val="22"/>
        </w:rPr>
        <w:t> </w:t>
      </w:r>
      <w:r>
        <w:rPr>
          <w:rFonts w:ascii="Times New Roman" w:hAnsi="Times New Roman"/>
          <w:b w:val="false"/>
          <w:i w:val="false"/>
          <w:color w:val="000000"/>
          <w:sz w:val="22"/>
        </w:rPr>
        <w:t>The actions of the facility after the occurrence of the violation, including when corrective measures, if any, were implemented and whether the facility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56.9(7)</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facility which relate to the violation,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56.9(8)</w:t>
      </w:r>
      <w:r>
        <w:rPr>
          <w:rFonts w:ascii="Times New Roman" w:hAnsi="Times New Roman"/>
          <w:b w:val="false"/>
          <w:i w:val="false"/>
          <w:color w:val="000000"/>
          <w:sz w:val="22"/>
        </w:rPr>
        <w:t> </w:t>
      </w:r>
      <w:r>
        <w:rPr>
          <w:rFonts w:ascii="Times New Roman" w:hAnsi="Times New Roman"/>
          <w:b w:val="false"/>
          <w:i w:val="false"/>
          <w:color w:val="000000"/>
          <w:sz w:val="22"/>
        </w:rPr>
        <w:t>The rights of residents to make informed decisions with their doctor(s) and family/legal representative(s);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56.9(9)</w:t>
      </w:r>
      <w:r>
        <w:rPr>
          <w:rFonts w:ascii="Times New Roman" w:hAnsi="Times New Roman"/>
          <w:b w:val="false"/>
          <w:i w:val="false"/>
          <w:color w:val="000000"/>
          <w:sz w:val="22"/>
        </w:rPr>
        <w:t> </w:t>
      </w:r>
      <w:r>
        <w:rPr>
          <w:rFonts w:ascii="Times New Roman" w:hAnsi="Times New Roman"/>
          <w:b w:val="false"/>
          <w:i w:val="false"/>
          <w:color w:val="000000"/>
          <w:sz w:val="22"/>
        </w:rPr>
        <w:t>Whether the facility made a good-faith effort to address a high-risk resident’s specific needs, and whether the evidence substantiates this effort.</w:t>
      </w:r>
    </w:p>
    <w:p>
      <w:pPr>
        <w:spacing w:before="0" w:after="0"/>
        <w:ind w:left="120"/>
        <w:jc w:val="both"/>
      </w:pPr>
      <w:r>
        <w:rPr>
          <w:rFonts w:ascii="Times New Roman" w:hAnsi="Times New Roman"/>
          <w:b/>
          <w:i w:val="false"/>
          <w:color w:val="000000"/>
          <w:sz w:val="22"/>
        </w:rPr>
        <w:t>481—56.10</w:t>
      </w:r>
      <w:r>
        <w:rPr>
          <w:rFonts w:ascii="Times New Roman" w:hAnsi="Times New Roman"/>
          <w:b/>
          <w:i w:val="false"/>
          <w:color w:val="000000"/>
          <w:sz w:val="22"/>
        </w:rPr>
        <w:t xml:space="preserve">(135C) </w:t>
      </w:r>
      <w:r>
        <w:rPr>
          <w:rFonts w:ascii="Times New Roman" w:hAnsi="Times New Roman"/>
          <w:b/>
          <w:i w:val="false"/>
          <w:color w:val="000000"/>
          <w:sz w:val="22"/>
        </w:rPr>
        <w:t xml:space="preserve">Factors determining imposition of citation and fine.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56.10(1)</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inspections and appeals may consider evidence of the circumstances surrounding the violation including, but not limited to, those factors set out in rule 481—56.9(135C)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whether a violation will be subject to a fine or citation;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Determining the monetary amount of the penalty to be specified in the citation, when such a fine is authorized to be levied for a particular class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violation shall be cited as a class I violation, the following chart shall be used by the department when calculating the fine amount. The amount of the fine shall be the sum total of the calculated fine amounts for each factor to be considered. With the exception of fines trebled pursuant to Iowa Code section </w:t>
      </w:r>
      <w:hyperlink r:id="rId16">
        <w:r>
          <w:rPr>
            <w:rStyle w:val="Hyperlink"/>
            <w:rFonts w:ascii="Times New Roman" w:hAnsi="Times New Roman"/>
            <w:b w:val="false"/>
            <w:i w:val="false"/>
            <w:color w:val="000000"/>
            <w:sz w:val="22"/>
          </w:rPr>
          <w:t>135C.44</w:t>
        </w:r>
      </w:hyperlink>
      <w:r>
        <w:rPr>
          <w:rFonts w:ascii="Times New Roman" w:hAnsi="Times New Roman"/>
          <w:b w:val="false"/>
          <w:i w:val="false"/>
          <w:color w:val="000000"/>
          <w:sz w:val="22"/>
        </w:rPr>
        <w:t xml:space="preserve"> or doubled pursuant to Iowa Code section </w:t>
      </w:r>
      <w:hyperlink r:id="rId17">
        <w:r>
          <w:rPr>
            <w:rStyle w:val="Hyperlink"/>
            <w:rFonts w:ascii="Times New Roman" w:hAnsi="Times New Roman"/>
            <w:b w:val="false"/>
            <w:i w:val="false"/>
            <w:color w:val="000000"/>
            <w:sz w:val="22"/>
          </w:rPr>
          <w:t>135C.44A</w:t>
        </w:r>
      </w:hyperlink>
      <w:r>
        <w:rPr>
          <w:rFonts w:ascii="Times New Roman" w:hAnsi="Times New Roman"/>
          <w:b w:val="false"/>
          <w:i w:val="false"/>
          <w:color w:val="000000"/>
          <w:sz w:val="22"/>
        </w:rPr>
        <w:t>, the total fine imposed for a single class I violation shall not be less than $2,000 nor more than $10,000.</w:t>
      </w:r>
    </w:p>
    <w:p>
      <w:pPr>
        <w:spacing w:before="60" w:after="0"/>
        <w:ind w:left="120"/>
        <w:jc w:val="center"/>
      </w:pPr>
      <w:r>
        <w:rPr>
          <w:rFonts w:ascii="Times New Roman" w:hAnsi="Times New Roman"/>
          <w:b w:val="false"/>
          <w:i w:val="false"/>
          <w:color w:val="000000"/>
          <w:sz w:val="22"/>
        </w:rPr>
        <w:t>Class I Fine Calculation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94"/>
        <w:gridCol w:w="6067"/>
        <w:gridCol w:w="1459"/>
      </w:tblGrid>
      <w:tr>
        <w:trPr>
          <w:trHeight w:val="405" w:hRule="atLeast"/>
        </w:trPr>
        <w:tc>
          <w:tcPr>
            <w:tcW w:w="39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Factors to Be Considered</w:t>
            </w:r>
          </w:p>
        </w:tc>
        <w:tc>
          <w:tcPr>
            <w:tcW w:w="60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Associated Fine and Related Explanation</w:t>
            </w:r>
          </w:p>
        </w:tc>
        <w:tc>
          <w:tcPr>
            <w:tcW w:w="145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Calculated</w:t>
            </w:r>
            <w:r>
              <w:br/>
            </w:r>
            <w:r>
              <w:rPr>
                <w:rFonts w:ascii="Times New Roman" w:hAnsi="Times New Roman"/>
                <w:b w:val="false"/>
                <w:i w:val="false"/>
                <w:color w:val="000000"/>
                <w:sz w:val="16"/>
              </w:rPr>
              <w:t>Fine</w:t>
            </w:r>
          </w:p>
        </w:tc>
      </w:tr>
      <w:tr>
        <w:trPr>
          <w:trHeight w:val="112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Frequency and length of time the violation occurred, as specified in subrule 56.9(1)</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Duration of violation: </w:t>
            </w:r>
            <w:r>
              <w:br/>
            </w:r>
            <w:r>
              <w:rPr>
                <w:rFonts w:ascii="Times New Roman" w:hAnsi="Times New Roman"/>
                <w:b w:val="false"/>
                <w:i w:val="false"/>
                <w:color w:val="000000"/>
                <w:sz w:val="16"/>
              </w:rPr>
              <w:t>  • If 30 days or less, add $250.</w:t>
            </w:r>
            <w:r>
              <w:br/>
            </w:r>
            <w:r>
              <w:rPr>
                <w:rFonts w:ascii="Times New Roman" w:hAnsi="Times New Roman"/>
                <w:b w:val="false"/>
                <w:i w:val="false"/>
                <w:color w:val="000000"/>
                <w:sz w:val="16"/>
              </w:rPr>
              <w:t>  • If more than 30 days, add $500.</w:t>
            </w:r>
            <w:r>
              <w:br/>
            </w:r>
            <w:r>
              <w:rPr>
                <w:rFonts w:ascii="Times New Roman" w:hAnsi="Times New Roman"/>
                <w:b w:val="false"/>
                <w:i w:val="false"/>
                <w:color w:val="000000"/>
                <w:sz w:val="16"/>
              </w:rPr>
              <w:t>Breadth of violation:</w:t>
            </w:r>
            <w:r>
              <w:br/>
            </w:r>
            <w:r>
              <w:rPr>
                <w:rFonts w:ascii="Times New Roman" w:hAnsi="Times New Roman"/>
                <w:b w:val="false"/>
                <w:i w:val="false"/>
                <w:color w:val="000000"/>
                <w:sz w:val="16"/>
              </w:rPr>
              <w:t>  • One resident impacted, add $250.</w:t>
            </w:r>
            <w:r>
              <w:br/>
            </w:r>
            <w:r>
              <w:rPr>
                <w:rFonts w:ascii="Times New Roman" w:hAnsi="Times New Roman"/>
                <w:b w:val="false"/>
                <w:i w:val="false"/>
                <w:color w:val="000000"/>
                <w:sz w:val="16"/>
              </w:rPr>
              <w:t>  • More than one resident impacted, add $500.</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40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Past history of the facility, as specified in subrule 56.9(2)</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violation of rule or related rule cited within the past 24 months, add $500.</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43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Culpability of the facility, as specified in subrule 56.9(3)</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Degree of culpability of facility as it relates to the reason the violation occurred, add $0 to $500.</w:t>
            </w:r>
            <w:r>
              <w:rPr>
                <w:rFonts w:ascii="Times New Roman" w:hAnsi="Times New Roman"/>
                <w:b w:val="false"/>
                <w:i w:val="false"/>
                <w:color w:val="000000"/>
                <w:sz w:val="18"/>
                <w:vertAlign w:val="superscript"/>
              </w:rPr>
              <w:t>1</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1650"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Extent of any harm to a resident, as specified in subrule 56.9(4)</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 Death, imminent danger or substantial probability of death, </w:t>
            </w:r>
            <w:r>
              <w:br/>
            </w:r>
            <w:r>
              <w:rPr>
                <w:rFonts w:ascii="Times New Roman" w:hAnsi="Times New Roman"/>
                <w:b w:val="false"/>
                <w:i w:val="false"/>
                <w:color w:val="000000"/>
                <w:sz w:val="16"/>
              </w:rPr>
              <w:t>    add $6,000 to $8,500.</w:t>
            </w:r>
            <w:r>
              <w:br/>
            </w:r>
            <w:r>
              <w:rPr>
                <w:rFonts w:ascii="Times New Roman" w:hAnsi="Times New Roman"/>
                <w:b w:val="false"/>
                <w:i w:val="false"/>
                <w:color w:val="000000"/>
                <w:sz w:val="16"/>
              </w:rPr>
              <w:t xml:space="preserve">  • Moderate to severe physical harm, imminent danger or </w:t>
            </w:r>
            <w:r>
              <w:br/>
            </w:r>
            <w:r>
              <w:rPr>
                <w:rFonts w:ascii="Times New Roman" w:hAnsi="Times New Roman"/>
                <w:b w:val="false"/>
                <w:i w:val="false"/>
                <w:color w:val="000000"/>
                <w:sz w:val="16"/>
              </w:rPr>
              <w:t>    substantial probability of moderate to severe physical</w:t>
            </w:r>
            <w:r>
              <w:br/>
            </w:r>
            <w:r>
              <w:rPr>
                <w:rFonts w:ascii="Times New Roman" w:hAnsi="Times New Roman"/>
                <w:b w:val="false"/>
                <w:i w:val="false"/>
                <w:color w:val="000000"/>
                <w:sz w:val="16"/>
              </w:rPr>
              <w:t>    harm, add $3,000 to $7,500.</w:t>
            </w:r>
            <w:r>
              <w:br/>
            </w:r>
            <w:r>
              <w:rPr>
                <w:rFonts w:ascii="Times New Roman" w:hAnsi="Times New Roman"/>
                <w:b w:val="false"/>
                <w:i w:val="false"/>
                <w:color w:val="000000"/>
                <w:sz w:val="16"/>
              </w:rPr>
              <w:t>  • Minor to moderate physical harm, imminent danger or</w:t>
            </w:r>
            <w:r>
              <w:br/>
            </w:r>
            <w:r>
              <w:rPr>
                <w:rFonts w:ascii="Times New Roman" w:hAnsi="Times New Roman"/>
                <w:b w:val="false"/>
                <w:i w:val="false"/>
                <w:color w:val="000000"/>
                <w:sz w:val="16"/>
              </w:rPr>
              <w:t>     substantial probability of minor to moderate physical harm,</w:t>
            </w:r>
            <w:r>
              <w:br/>
            </w:r>
            <w:r>
              <w:rPr>
                <w:rFonts w:ascii="Times New Roman" w:hAnsi="Times New Roman"/>
                <w:b w:val="false"/>
                <w:i w:val="false"/>
                <w:color w:val="000000"/>
                <w:sz w:val="16"/>
              </w:rPr>
              <w:t xml:space="preserve">    add $1,000 to $3,000. </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61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Relationship of the violation to any other types of violations, as specified in subrule 56.9(5)</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 One or more related class II or class III violations cited,</w:t>
            </w:r>
            <w:r>
              <w:br/>
            </w:r>
            <w:r>
              <w:rPr>
                <w:rFonts w:ascii="Times New Roman" w:hAnsi="Times New Roman"/>
                <w:b w:val="false"/>
                <w:i w:val="false"/>
                <w:color w:val="000000"/>
                <w:sz w:val="16"/>
              </w:rPr>
              <w:t>    add $250.</w:t>
            </w:r>
            <w:r>
              <w:br/>
            </w:r>
            <w:r>
              <w:rPr>
                <w:rFonts w:ascii="Times New Roman" w:hAnsi="Times New Roman"/>
                <w:b w:val="false"/>
                <w:i w:val="false"/>
                <w:color w:val="000000"/>
                <w:sz w:val="16"/>
              </w:rPr>
              <w:t>  • One or more related class I violations cited, add $500.</w:t>
            </w:r>
            <w:r>
              <w:rPr>
                <w:rFonts w:ascii="Times New Roman" w:hAnsi="Times New Roman"/>
                <w:b w:val="false"/>
                <w:i w:val="false"/>
                <w:color w:val="000000"/>
                <w:sz w:val="18"/>
                <w:vertAlign w:val="superscript"/>
              </w:rPr>
              <w:t>2</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76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Actions of the facility after the occurrence of the violation, as specified in subrule 56.9(6)</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 Good-faith corrective actions taken although violation not</w:t>
            </w:r>
            <w:r>
              <w:br/>
            </w:r>
            <w:r>
              <w:rPr>
                <w:rFonts w:ascii="Times New Roman" w:hAnsi="Times New Roman"/>
                <w:b w:val="false"/>
                <w:i w:val="false"/>
                <w:color w:val="000000"/>
                <w:sz w:val="16"/>
              </w:rPr>
              <w:t>    appropriately corrected, add $250.</w:t>
            </w:r>
            <w:r>
              <w:br/>
            </w:r>
            <w:r>
              <w:rPr>
                <w:rFonts w:ascii="Times New Roman" w:hAnsi="Times New Roman"/>
                <w:b w:val="false"/>
                <w:i w:val="false"/>
                <w:color w:val="000000"/>
                <w:sz w:val="16"/>
              </w:rPr>
              <w:t>  • Corrective actions not taken or the facility failed to notify</w:t>
            </w:r>
            <w:r>
              <w:br/>
            </w:r>
            <w:r>
              <w:rPr>
                <w:rFonts w:ascii="Times New Roman" w:hAnsi="Times New Roman"/>
                <w:b w:val="false"/>
                <w:i w:val="false"/>
                <w:color w:val="000000"/>
                <w:sz w:val="16"/>
              </w:rPr>
              <w:t xml:space="preserve">    the director as required, add $500. </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40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Accuracy and extent of records kept by the facility, as specified in subrule 56.9(7)</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Records maintained by the facility contain pertinent inaccuracies or omissions or were unavailable to the department, add $500.</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40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Rights of the residents to make informed decisions, as specified in subrule 56.9(8)</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Residents’ rights to make informed decisions were not respected, add $500.</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58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Whether the facility made a good-faith effort to address a high-risk resident’s needs, as specified in subrule 56.9(9)</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Evidence indicates the facility did not make a good-faith effort to address a high-risk resident’s specific needs, add $500.</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585" w:hRule="atLeast"/>
        </w:trPr>
        <w:tc>
          <w:tcPr>
            <w:tcW w:w="39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circumstances surrounding the violation, as specified in rule 481—56.9(135C)</w:t>
            </w:r>
          </w:p>
        </w:tc>
        <w:tc>
          <w:tcPr>
            <w:tcW w:w="6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Cite any additional circumstances considered and any associated fine amount.</w:t>
            </w:r>
          </w:p>
        </w:tc>
        <w:tc>
          <w:tcPr>
            <w:tcW w:w="14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22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Total Calculated Class I Fine Amount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bl>
    <w:tbl>
      <w:tblPr>
        <w:tblW w:w="5000" w:type="pct"/>
        <w:tblCellSpacing w:w="0" w:type="auto"/>
        <w:tblBorders>
          <w:top w:val="none"/>
          <w:left w:val="none"/>
          <w:bottom w:val="none"/>
          <w:right w:val="none"/>
          <w:insideH w:val="none"/>
          <w:insideV w:val="none"/>
        </w:tblBorders>
        <w:tblLayout w:type="fixed"/>
      </w:tblPr>
      <w:tblGrid>
        <w:gridCol w:w="11190"/>
      </w:tblGrid>
      <w:tr>
        <w:trPr>
          <w:trHeight w:val="60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For example, the culpability of a facility may range from acts or omissions that are inadvertent or negligent to acts or omissions that intentionally disregard known or obvious risks and make it highly probable that the outcome would cause harm to a resident.</w:t>
            </w:r>
          </w:p>
        </w:tc>
      </w:tr>
      <w:tr>
        <w:trPr>
          <w:trHeight w:val="42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For example, a violation related to pressure sores could be correlated to a violation related to the use of restraints or failure to provide incontinent care.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3390C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481—56.11</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 I violation not specified in the rules. </w:t>
      </w:r>
      <w:r>
        <w:rPr>
          <w:rFonts w:ascii="Times New Roman" w:hAnsi="Times New Roman"/>
          <w:b w:val="false"/>
          <w:i w:val="false"/>
          <w:color w:val="000000"/>
          <w:sz w:val="22"/>
        </w:rPr>
        <w:t>The director of the department of inspections and appeals may issue a citation for a class I violation when a physical condition or one or more practices exist in a facility which are not in violation of a specific statute or rule, but which constitute an imminent danger or a substantial probability of resultant death or physical harm to the residents of the facility.</w:t>
      </w:r>
    </w:p>
    <w:p>
      <w:pPr>
        <w:spacing w:before="210" w:after="0"/>
        <w:ind w:left="120"/>
        <w:jc w:val="both"/>
      </w:pPr>
      <w:r>
        <w:rPr>
          <w:rFonts w:ascii="Times New Roman" w:hAnsi="Times New Roman"/>
          <w:b/>
          <w:i w:val="false"/>
          <w:color w:val="000000"/>
          <w:sz w:val="22"/>
        </w:rPr>
        <w:t>481—56.12</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 I violation as a result of multiple lesser violations. </w:t>
      </w:r>
      <w:r>
        <w:rPr>
          <w:rFonts w:ascii="Times New Roman" w:hAnsi="Times New Roman"/>
          <w:b w:val="false"/>
          <w:i w:val="false"/>
          <w:color w:val="000000"/>
          <w:sz w:val="22"/>
        </w:rPr>
        <w:t>The director of the department of inspections and appeals may issue a citation for a class I violation when a physical condition or one or more practices exist in a facility which are a result of multiple lesser violations of the statutes or rules, but which taken as a whole constitute an imminent danger or a substantial probability of resultant death or physical harm to the residents of the facility.</w:t>
      </w:r>
    </w:p>
    <w:p>
      <w:pPr>
        <w:spacing w:before="0" w:after="0"/>
        <w:ind w:left="120"/>
        <w:jc w:val="both"/>
      </w:pPr>
      <w:r>
        <w:rPr>
          <w:rFonts w:ascii="Times New Roman" w:hAnsi="Times New Roman"/>
          <w:b/>
          <w:i w:val="false"/>
          <w:color w:val="000000"/>
          <w:sz w:val="22"/>
        </w:rPr>
        <w:t>481—56.13</w:t>
      </w:r>
      <w:r>
        <w:rPr>
          <w:rFonts w:ascii="Times New Roman" w:hAnsi="Times New Roman"/>
          <w:b/>
          <w:i w:val="false"/>
          <w:color w:val="000000"/>
          <w:sz w:val="22"/>
        </w:rPr>
        <w:t xml:space="preserve">(135C) </w:t>
      </w:r>
      <w:r>
        <w:rPr>
          <w:rFonts w:ascii="Times New Roman" w:hAnsi="Times New Roman"/>
          <w:b/>
          <w:i w:val="false"/>
          <w:color w:val="000000"/>
          <w:sz w:val="22"/>
        </w:rPr>
        <w:t xml:space="preserve">Form of citations. </w:t>
      </w:r>
      <w:r>
        <w:rPr>
          <w:rFonts w:ascii="Times New Roman" w:hAnsi="Times New Roman"/>
          <w:b w:val="false"/>
          <w:i w:val="false"/>
          <w:color w:val="000000"/>
          <w:sz w:val="22"/>
        </w:rPr>
        <w:t>Each citation issued by the director of the department of inspections and appeals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56.13(1)</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Code section or subsection or the rule or standard violated. (In the case of class I violations as described in </w:t>
      </w:r>
      <w:hyperlink r:id="rId18">
        <w:r>
          <w:rPr>
            <w:rStyle w:val="Hyperlink"/>
            <w:rFonts w:ascii="Times New Roman" w:hAnsi="Times New Roman"/>
            <w:b w:val="false"/>
            <w:i w:val="false"/>
            <w:color w:val="000000"/>
            <w:sz w:val="22"/>
          </w:rPr>
          <w:t>481—56.11</w:t>
        </w:r>
      </w:hyperlink>
      <w:r>
        <w:rPr>
          <w:rFonts w:ascii="Times New Roman" w:hAnsi="Times New Roman"/>
          <w:b w:val="false"/>
          <w:i w:val="false"/>
          <w:color w:val="000000"/>
          <w:sz w:val="22"/>
        </w:rPr>
        <w:t>(135C), a statement of the specific physical condition or one or more practices may be made in lieu of this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classification of the violation, as specified in </w:t>
      </w:r>
      <w:hyperlink r:id="rId19">
        <w:r>
          <w:rPr>
            <w:rStyle w:val="Hyperlink"/>
            <w:rFonts w:ascii="Times New Roman" w:hAnsi="Times New Roman"/>
            <w:b w:val="false"/>
            <w:i w:val="false"/>
            <w:color w:val="000000"/>
            <w:sz w:val="22"/>
          </w:rPr>
          <w:t>481—56.2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56.13(4)</w:t>
      </w:r>
      <w:r>
        <w:rPr>
          <w:rFonts w:ascii="Times New Roman" w:hAnsi="Times New Roman"/>
          <w:b w:val="false"/>
          <w:i w:val="false"/>
          <w:color w:val="000000"/>
          <w:sz w:val="22"/>
        </w:rPr>
        <w:t> </w:t>
      </w:r>
      <w:r>
        <w:rPr>
          <w:rFonts w:ascii="Times New Roman" w:hAnsi="Times New Roman"/>
          <w:b w:val="false"/>
          <w:i w:val="false"/>
          <w:color w:val="000000"/>
          <w:sz w:val="22"/>
        </w:rPr>
        <w:t>When appropriate, a statement of the period of time allowed for correction of the violation, which shall in each case be the shortest period of time the department deems feasible;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fine may be reduced by 35 percent pursuant to Iowa Code section </w:t>
      </w:r>
      <w:hyperlink r:id="rId20">
        <w:r>
          <w:rPr>
            <w:rStyle w:val="Hyperlink"/>
            <w:rFonts w:ascii="Times New Roman" w:hAnsi="Times New Roman"/>
            <w:b w:val="false"/>
            <w:i w:val="false"/>
            <w:color w:val="000000"/>
            <w:sz w:val="22"/>
          </w:rPr>
          <w:t>135C.43A</w:t>
        </w:r>
      </w:hyperlink>
      <w:r>
        <w:rPr>
          <w:rFonts w:ascii="Times New Roman" w:hAnsi="Times New Roman"/>
          <w:b w:val="false"/>
          <w:i w:val="false"/>
          <w:color w:val="000000"/>
          <w:sz w:val="22"/>
        </w:rPr>
        <w:t xml:space="preserve"> and subrule </w:t>
      </w:r>
      <w:hyperlink r:id="rId21">
        <w:r>
          <w:rPr>
            <w:rStyle w:val="Hyperlink"/>
            <w:rFonts w:ascii="Times New Roman" w:hAnsi="Times New Roman"/>
            <w:b w:val="false"/>
            <w:i w:val="false"/>
            <w:color w:val="000000"/>
            <w:sz w:val="22"/>
          </w:rPr>
          <w:t>56.3(6)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481—56.14</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Licensee’s response to a citation. </w:t>
      </w:r>
      <w:r>
        <w:rPr>
          <w:rFonts w:ascii="Times New Roman" w:hAnsi="Times New Roman"/>
          <w:b w:val="false"/>
          <w:i w:val="false"/>
          <w:color w:val="000000"/>
          <w:sz w:val="22"/>
        </w:rPr>
        <w:t>Within 20 business days after service of a citation, the facility shall respond in the following manner, according to the type of citation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56.14(1)</w:t>
      </w:r>
      <w:r>
        <w:rPr>
          <w:rFonts w:ascii="Times New Roman" w:hAnsi="Times New Roman"/>
          <w:b w:val="false"/>
          <w:i w:val="false"/>
          <w:color w:val="000000"/>
          <w:sz w:val="22"/>
        </w:rPr>
        <w:t> </w:t>
      </w:r>
      <w:r>
        <w:rPr>
          <w:rFonts w:ascii="Times New Roman" w:hAnsi="Times New Roman"/>
          <w:b w:val="false"/>
          <w:i w:val="false"/>
          <w:color w:val="000000"/>
          <w:sz w:val="22"/>
        </w:rPr>
        <w:t>If the facility does not desire to seek an informal conference or contest the citation, the facility shall remit to the department of inspections and appeals the amount specified by the department of inspections and appeals in the citation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violation was issued in conjunction with a federal civil money penalty, and the department holds the fine issued pursuant to this chapter in abeyance pursuant to Iowa Code section </w:t>
      </w:r>
      <w:hyperlink r:id="rId22">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class II violation for which the penalty was imposed has been waived pursuant to subrule </w:t>
      </w:r>
      <w:hyperlink r:id="rId23">
        <w:r>
          <w:rPr>
            <w:rStyle w:val="Hyperlink"/>
            <w:rFonts w:ascii="Times New Roman" w:hAnsi="Times New Roman"/>
            <w:b w:val="false"/>
            <w:i w:val="false"/>
            <w:color w:val="000000"/>
            <w:sz w:val="22"/>
          </w:rPr>
          <w:t>56.3(2)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56.14(2)</w:t>
      </w:r>
      <w:r>
        <w:rPr>
          <w:rFonts w:ascii="Times New Roman" w:hAnsi="Times New Roman"/>
          <w:b w:val="false"/>
          <w:i w:val="false"/>
          <w:color w:val="000000"/>
          <w:sz w:val="22"/>
        </w:rPr>
        <w:t> </w:t>
      </w:r>
      <w:r>
        <w:rPr>
          <w:rFonts w:ascii="Times New Roman" w:hAnsi="Times New Roman"/>
          <w:b w:val="false"/>
          <w:i w:val="false"/>
          <w:color w:val="000000"/>
          <w:sz w:val="22"/>
        </w:rPr>
        <w:t>For each class II or class III violation, the facility shall send a written response to the department of inspections and appeals, acknowledging that the citation has been received and stating that the violation will be corrected within the specified period of time allowed by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56.14(3)</w:t>
      </w:r>
      <w:r>
        <w:rPr>
          <w:rFonts w:ascii="Times New Roman" w:hAnsi="Times New Roman"/>
          <w:b w:val="false"/>
          <w:i w:val="false"/>
          <w:color w:val="000000"/>
          <w:sz w:val="22"/>
        </w:rPr>
        <w:t> </w:t>
      </w:r>
      <w:r>
        <w:rPr>
          <w:rFonts w:ascii="Times New Roman" w:hAnsi="Times New Roman"/>
          <w:b w:val="false"/>
          <w:i w:val="false"/>
          <w:color w:val="000000"/>
          <w:sz w:val="22"/>
        </w:rPr>
        <w:t>If the facility desires to contest a citation for a class I, class II or class III violation, the facility shall notify the department of inspections and appeals in writing that the facility desires to contest such citation and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 informal conference with an independent reviewer pursuant to rule </w:t>
      </w:r>
      <w:hyperlink r:id="rId24">
        <w:r>
          <w:rPr>
            <w:rStyle w:val="Hyperlink"/>
            <w:rFonts w:ascii="Times New Roman" w:hAnsi="Times New Roman"/>
            <w:b w:val="false"/>
            <w:i w:val="false"/>
            <w:color w:val="000000"/>
            <w:sz w:val="22"/>
          </w:rPr>
          <w:t>481—56.15</w:t>
        </w:r>
      </w:hyperlink>
      <w:r>
        <w:rPr>
          <w:rFonts w:ascii="Times New Roman" w:hAnsi="Times New Roman"/>
          <w:b w:val="false"/>
          <w:i w:val="false"/>
          <w:color w:val="000000"/>
          <w:sz w:val="22"/>
        </w:rPr>
        <w:t xml:space="preserve">(135C);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contested case hearing in the manner provided by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481—56.15</w:t>
      </w:r>
      <w:r>
        <w:rPr>
          <w:rFonts w:ascii="Times New Roman" w:hAnsi="Times New Roman"/>
          <w:b/>
          <w:i w:val="false"/>
          <w:color w:val="000000"/>
          <w:sz w:val="22"/>
        </w:rPr>
        <w:t xml:space="preserve">(135C) </w:t>
      </w:r>
      <w:r>
        <w:rPr>
          <w:rFonts w:ascii="Times New Roman" w:hAnsi="Times New Roman"/>
          <w:b/>
          <w:i w:val="false"/>
          <w:color w:val="000000"/>
          <w:sz w:val="22"/>
        </w:rPr>
        <w:t xml:space="preserve">Informal conference. </w:t>
      </w:r>
      <w:r>
        <w:rPr>
          <w:rFonts w:ascii="Times New Roman" w:hAnsi="Times New Roman"/>
          <w:b w:val="false"/>
          <w:i w:val="false"/>
          <w:color w:val="000000"/>
          <w:sz w:val="22"/>
        </w:rPr>
        <w:t>An informal conference will be held concurrently with any informal dispute resolution held pursuant to 42 CFR Section 488.331 for those health care facilities certified under Medicare 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these rules, “independent reviewer” means an attorney licensed in the state of Iowa who is not currently employed by the department, has not been employed by the department in the past eight years, and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56.15(2)</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addressed to the compliance officer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citation(s)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informal conference requested: face-to-face or telephone conference;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surveyor worksheets for the citation(s)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 xml:space="preserve">Within the same ten-day period required for submission of a plan of correction pursuant to </w:t>
      </w:r>
      <w:hyperlink r:id="rId26">
        <w:r>
          <w:rPr>
            <w:rStyle w:val="Hyperlink"/>
            <w:rFonts w:ascii="Times New Roman" w:hAnsi="Times New Roman"/>
            <w:b w:val="false"/>
            <w:i w:val="false"/>
            <w:color w:val="000000"/>
            <w:sz w:val="22"/>
          </w:rPr>
          <w:t>481—subrule 50.10(7)</w:t>
        </w:r>
      </w:hyperlink>
      <w:r>
        <w:rPr>
          <w:rFonts w:ascii="Times New Roman" w:hAnsi="Times New Roman"/>
          <w:b w:val="false"/>
          <w:i w:val="false"/>
          <w:color w:val="000000"/>
          <w:sz w:val="22"/>
        </w:rPr>
        <w:t>, the facility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those who will be attending the informal conference, including legal counsel;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facility’s position. The facility must highlight or use some other means to identify written information pertinent to the disputed deficiency(ies). Supporting documentation that is not submitted within the required time frame will not be considered, except as otherwise permitted by the independent reviewer upon good cause shown. “Good cause” means substantial or adequate grounds for failing to submit documentation in a timely manner. In determining whether the facility has shown good cause, the independent reviewer shall consider what circumstances kept the facility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56.15(4)</w:t>
      </w:r>
      <w:r>
        <w:rPr>
          <w:rFonts w:ascii="Times New Roman" w:hAnsi="Times New Roman"/>
          <w:b w:val="false"/>
          <w:i w:val="false"/>
          <w:color w:val="000000"/>
          <w:sz w:val="22"/>
        </w:rPr>
        <w:t> </w:t>
      </w:r>
      <w:r>
        <w:rPr>
          <w:rFonts w:ascii="Times New Roman" w:hAnsi="Times New Roman"/>
          <w:b w:val="false"/>
          <w:i/>
          <w:color w:val="000000"/>
          <w:sz w:val="22"/>
        </w:rPr>
        <w:t xml:space="preserve">Face-to-face or telephone conference. </w:t>
      </w:r>
      <w:r>
        <w:rPr>
          <w:rFonts w:ascii="Times New Roman" w:hAnsi="Times New Roman"/>
          <w:b w:val="false"/>
          <w:i w:val="false"/>
          <w:color w:val="000000"/>
          <w:sz w:val="22"/>
        </w:rPr>
        <w:t xml:space="preserve">A face-to-face or telephone conference, if requested, will be scheduled to occur within ten business days of the receipt by the department of the written request, all supporting documentation, and the plan of correction required by </w:t>
      </w:r>
      <w:hyperlink r:id="rId27">
        <w:r>
          <w:rPr>
            <w:rStyle w:val="Hyperlink"/>
            <w:rFonts w:ascii="Times New Roman" w:hAnsi="Times New Roman"/>
            <w:b w:val="false"/>
            <w:i w:val="false"/>
            <w:color w:val="000000"/>
            <w:sz w:val="22"/>
          </w:rPr>
          <w:t>481—subrule 50.10(7)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to allow the facility to informally present information and explanation concerning the contested deficiencies.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during the informal conference, the facility will have two business days to deliver the additional materials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preclude a face-to-face conference, a telephone conference will be held or the facility may be given one opportunity to reschedule the face-to-face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56.15(5)</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 xml:space="preserve">The results of the informal conference will generally be sent to the facility within ten business days after the date of the informal conference or, if additional information is requested, within ten business days after the department’s receipt of the 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reviewer may affirm or may modify or dismiss the citation. The independent reviewer shall state in writing the specific reasons for the affirmation, modification or dismissal of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(correction of typographical/data errors) citation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must submit to the department a new plan of correction for the amended or corrected citation within ten calendar days from the date of the letter conveying the results of the informal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481—56.16</w:t>
      </w:r>
      <w:r>
        <w:rPr>
          <w:rFonts w:ascii="Times New Roman" w:hAnsi="Times New Roman"/>
          <w:b/>
          <w:i w:val="false"/>
          <w:color w:val="000000"/>
          <w:sz w:val="22"/>
        </w:rPr>
        <w:t xml:space="preserve">(135C) </w:t>
      </w:r>
      <w:r>
        <w:rPr>
          <w:rFonts w:ascii="Times New Roman" w:hAnsi="Times New Roman"/>
          <w:b/>
          <w:i w:val="false"/>
          <w:color w:val="000000"/>
          <w:sz w:val="22"/>
        </w:rPr>
        <w:t xml:space="preserve">Procedure for facility after informal conference. </w:t>
      </w:r>
      <w:r>
        <w:rPr>
          <w:rFonts w:ascii="Times New Roman" w:hAnsi="Times New Roman"/>
          <w:b w:val="false"/>
          <w:i w:val="false"/>
          <w:color w:val="000000"/>
          <w:sz w:val="22"/>
        </w:rPr>
        <w:t xml:space="preserve">After the conclusion of an informal conference requested by the licensee and provided pursuant to </w:t>
      </w:r>
      <w:hyperlink r:id="rId28">
        <w:r>
          <w:rPr>
            <w:rStyle w:val="Hyperlink"/>
            <w:rFonts w:ascii="Times New Roman" w:hAnsi="Times New Roman"/>
            <w:b w:val="false"/>
            <w:i w:val="false"/>
            <w:color w:val="000000"/>
            <w:sz w:val="22"/>
          </w:rPr>
          <w:t>56.14(3)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does not desire to further contest an affirmed or modified citation for a class I, class II or class III violation, the facility shall, within five business days after the informal conference, or within five business days after receipt of the written decision and explanation of the independent reviewer, whichever occurs later, comply with the provisions of subrule </w:t>
      </w:r>
      <w:hyperlink r:id="rId29">
        <w:r>
          <w:rPr>
            <w:rStyle w:val="Hyperlink"/>
            <w:rFonts w:ascii="Times New Roman" w:hAnsi="Times New Roman"/>
            <w:b w:val="false"/>
            <w:i w:val="false"/>
            <w:color w:val="000000"/>
            <w:sz w:val="22"/>
          </w:rPr>
          <w:t>56.14(1)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56.16(2)</w:t>
      </w:r>
      <w:r>
        <w:rPr>
          <w:rFonts w:ascii="Times New Roman" w:hAnsi="Times New Roman"/>
          <w:b w:val="false"/>
          <w:i w:val="false"/>
          <w:color w:val="000000"/>
          <w:sz w:val="22"/>
        </w:rPr>
        <w:t> </w:t>
      </w:r>
      <w:r>
        <w:rPr>
          <w:rFonts w:ascii="Times New Roman" w:hAnsi="Times New Roman"/>
          <w:b w:val="false"/>
          <w:i w:val="false"/>
          <w:color w:val="000000"/>
          <w:sz w:val="22"/>
        </w:rPr>
        <w:t>If the facility does desire to further contest an affirmed or modified citation for a class I, class II or class III violation, the facility shall, within five business days after receipt of the written explanation of the independent reviewer, notify the department of inspections and appeals in writing of the facility’s intent to formally contest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481—56.17</w:t>
      </w:r>
      <w:r>
        <w:rPr>
          <w:rFonts w:ascii="Times New Roman" w:hAnsi="Times New Roman"/>
          <w:b/>
          <w:i w:val="false"/>
          <w:color w:val="000000"/>
          <w:sz w:val="22"/>
        </w:rPr>
        <w:t xml:space="preserve">(135C) </w:t>
      </w:r>
      <w:r>
        <w:rPr>
          <w:rFonts w:ascii="Times New Roman" w:hAnsi="Times New Roman"/>
          <w:b/>
          <w:i w:val="false"/>
          <w:color w:val="000000"/>
          <w:sz w:val="22"/>
        </w:rPr>
        <w:t xml:space="preserve">Formal contest. </w:t>
      </w:r>
      <w:r>
        <w:rPr>
          <w:rFonts w:ascii="Times New Roman" w:hAnsi="Times New Roman"/>
          <w:b w:val="false"/>
          <w:i w:val="false"/>
          <w:color w:val="000000"/>
          <w:sz w:val="22"/>
        </w:rPr>
        <w:t xml:space="preserve">The procedures for contested cases, as set out in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the rules adopted by the department of inspections and appeals shall be followed in all cases where proper notice has been made to the department of inspections and appeals of the intent to formally contest any citation.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1047C</w:t>
      </w:r>
      <w:r>
        <w:rPr>
          <w:rFonts w:ascii="Times New Roman" w:hAnsi="Times New Roman"/>
          <w:b w:val="false"/>
          <w:i w:val="false"/>
          <w:color w:val="000000"/>
          <w:sz w:val="21"/>
        </w:rPr>
        <w:t xml:space="preserve"> (Notice ARC 0922C,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2158C</w:t>
      </w:r>
      <w:r>
        <w:rPr>
          <w:rFonts w:ascii="Times New Roman" w:hAnsi="Times New Roman"/>
          <w:b w:val="false"/>
          <w:i w:val="false"/>
          <w:color w:val="000000"/>
          <w:sz w:val="21"/>
        </w:rPr>
        <w:t xml:space="preserve"> (Notice ARC 2081C,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3390C</w:t>
      </w:r>
      <w:r>
        <w:rPr>
          <w:rFonts w:ascii="Times New Roman" w:hAnsi="Times New Roman"/>
          <w:b w:val="false"/>
          <w:i w:val="false"/>
          <w:color w:val="000000"/>
          <w:sz w:val="21"/>
        </w:rPr>
        <w:t xml:space="preserve"> (Notice ARC 3222C, IAB 8/2/17)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7005C</w:t>
      </w:r>
      <w:r>
        <w:rPr>
          <w:rFonts w:ascii="Times New Roman" w:hAnsi="Times New Roman"/>
          <w:b w:val="false"/>
          <w:i w:val="false"/>
          <w:color w:val="000000"/>
          <w:sz w:val="21"/>
        </w:rPr>
        <w:t xml:space="preserve"> (Notice ARC 6835C, IAB 1/25/23)</w:t>
      </w:r>
      <w:r>
        <w:rPr>
          <w:rFonts w:ascii="Times New Roman" w:hAnsi="Times New Roman"/>
          <w:b w:val="false"/>
          <w:i w:val="false"/>
          <w:color w:val="000000"/>
          <w:sz w:val="21"/>
        </w:rPr>
        <w:t>, IAB 5/3/23, effective 6/7/23]</w:t>
      </w:r>
    </w:p>
    <w:p>
      <w:pPr>
        <w:pBdr>
          <w:bottom w:space="2"/>
        </w:pBdr>
        <w:spacing w:before="0" w:after="0"/>
        <w:ind w:left="120"/>
        <w:jc w:val="both"/>
      </w:pPr>
      <w:r>
        <w:rPr>
          <w:rFonts w:ascii="Times New Roman" w:hAnsi="Times New Roman"/>
          <w:b w:val="false"/>
          <w:i w:val="false"/>
          <w:color w:val="000000"/>
          <w:sz w:val="22"/>
        </w:rPr>
        <w:t xml:space="preserve">Effective date of Ch 56 delayed by the Administrative Rules Review Committee until 12/6/76, pursuant to Iowa Code section </w:t>
      </w:r>
      <w:hyperlink r:id="rId3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as amended by 66 GA, SF 1288, section 2, to allow further time to study and examine the rules.</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ac/rule/481.56.3.pdf" Type="http://schemas.openxmlformats.org/officeDocument/2006/relationships/hyperlink" Id="rId6"/>
    <Relationship TargetMode="External" Target="https://www.legis.iowa.gov/docs/iac/rule/481.56.3.pdf" Type="http://schemas.openxmlformats.org/officeDocument/2006/relationships/hyperlink" Id="rId7"/>
    <Relationship TargetMode="External" Target="https://www.legis.iowa.gov/docs/iac/rule/481.56.5.pdf" Type="http://schemas.openxmlformats.org/officeDocument/2006/relationships/hyperlink" Id="rId8"/>
    <Relationship TargetMode="External" Target="https://www.legis.iowa.gov/docs/ico/chapter/135C.36.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135C.43.pdf" Type="http://schemas.openxmlformats.org/officeDocument/2006/relationships/hyperlink" Id="rId11"/>
    <Relationship TargetMode="External" Target="https://www.legis.iowa.gov/docs/iac/rule/481.56.17.pdf" Type="http://schemas.openxmlformats.org/officeDocument/2006/relationships/hyperlink" Id="rId12"/>
    <Relationship TargetMode="External" Target="https://www.legis.iowa.gov/docs/iac/rule/481.56.3.pdf" Type="http://schemas.openxmlformats.org/officeDocument/2006/relationships/hyperlink" Id="rId13"/>
    <Relationship TargetMode="External" Target="https://www.legis.iowa.gov/docs/iac/rule/481.56.3.pdf" Type="http://schemas.openxmlformats.org/officeDocument/2006/relationships/hyperlink" Id="rId14"/>
    <Relationship TargetMode="External" Target="https://www.legis.iowa.gov/docs/ico/chapter/135C.pdf" Type="http://schemas.openxmlformats.org/officeDocument/2006/relationships/hyperlink" Id="rId15"/>
    <Relationship TargetMode="External" Target="https://www.legis.iowa.gov/docs/ico/chapter/135C.44.pdf" Type="http://schemas.openxmlformats.org/officeDocument/2006/relationships/hyperlink" Id="rId16"/>
    <Relationship TargetMode="External" Target="https://www.legis.iowa.gov/docs/ico/chapter/135C.44A.pdf" Type="http://schemas.openxmlformats.org/officeDocument/2006/relationships/hyperlink" Id="rId17"/>
    <Relationship TargetMode="External" Target="https://www.legis.iowa.gov/docs/iac/rule/481.56.11.pdf" Type="http://schemas.openxmlformats.org/officeDocument/2006/relationships/hyperlink" Id="rId18"/>
    <Relationship TargetMode="External" Target="https://www.legis.iowa.gov/docs/iac/rule/481.56.2.pdf" Type="http://schemas.openxmlformats.org/officeDocument/2006/relationships/hyperlink" Id="rId19"/>
    <Relationship TargetMode="External" Target="https://www.legis.iowa.gov/docs/ico/chapter/135C.43A.pdf" Type="http://schemas.openxmlformats.org/officeDocument/2006/relationships/hyperlink" Id="rId20"/>
    <Relationship TargetMode="External" Target="https://www.legis.iowa.gov/docs/iac/rule/481.56.3.pdf" Type="http://schemas.openxmlformats.org/officeDocument/2006/relationships/hyperlink" Id="rId21"/>
    <Relationship TargetMode="External" Target="https://www.legis.iowa.gov/docs/ico/chapter/249A.57.pdf" Type="http://schemas.openxmlformats.org/officeDocument/2006/relationships/hyperlink" Id="rId22"/>
    <Relationship TargetMode="External" Target="https://www.legis.iowa.gov/docs/iac/rule/481.56.3.pdf" Type="http://schemas.openxmlformats.org/officeDocument/2006/relationships/hyperlink" Id="rId23"/>
    <Relationship TargetMode="External" Target="https://www.legis.iowa.gov/docs/iac/rule/481.56.1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rule/481.50.10.pdf" Type="http://schemas.openxmlformats.org/officeDocument/2006/relationships/hyperlink" Id="rId26"/>
    <Relationship TargetMode="External" Target="https://www.legis.iowa.gov/docs/iac/rule/481.50.10.pdf" Type="http://schemas.openxmlformats.org/officeDocument/2006/relationships/hyperlink" Id="rId27"/>
    <Relationship TargetMode="External" Target="https://www.legis.iowa.gov/docs/iac/rule/481.56.14.pdf" Type="http://schemas.openxmlformats.org/officeDocument/2006/relationships/hyperlink" Id="rId28"/>
    <Relationship TargetMode="External" Target="https://www.legis.iowa.gov/docs/iac/rule/481.56.14.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0A.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co/chapter/17A.4.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