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556</w:t>
      </w:r>
    </w:p>
    <w:p>
      <w:pPr>
        <w:spacing w:before="0" w:after="0"/>
        <w:ind w:left="120"/>
        <w:jc w:val="center"/>
      </w:pPr>
      <w:r>
        <w:rPr>
          <w:rFonts w:ascii="Times New Roman" w:hAnsi="Times New Roman"/>
          <w:b w:val="false"/>
          <w:i w:val="false"/>
          <w:color w:val="000000"/>
          <w:sz w:val="21"/>
        </w:rPr>
        <w:t>IOWA PRESCRIPTION MONITORING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481—556.1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481—556.2</w:t>
      </w:r>
      <w:r>
        <w:rPr>
          <w:rFonts w:ascii="Times New Roman" w:hAnsi="Times New Roman"/>
          <w:b/>
          <w:i w:val="false"/>
          <w:color w:val="000000"/>
          <w:sz w:val="22"/>
        </w:rPr>
        <w:t xml:space="preserve">(124) </w:t>
      </w:r>
      <w:r>
        <w:rPr>
          <w:rFonts w:ascii="Times New Roman" w:hAnsi="Times New Roman"/>
          <w:b/>
          <w:i w:val="false"/>
          <w:color w:val="000000"/>
          <w:sz w:val="22"/>
        </w:rPr>
        <w:t xml:space="preserve">PMP advisory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 of the PMP advisory committee will include prescribing practitioners as identified in Iowa Code section </w:t>
      </w:r>
      <w:hyperlink r:id="rId6">
        <w:r>
          <w:rPr>
            <w:rStyle w:val="Hyperlink"/>
            <w:rFonts w:ascii="Times New Roman" w:hAnsi="Times New Roman"/>
            <w:b w:val="false"/>
            <w:i w:val="false"/>
            <w:color w:val="000000"/>
            <w:sz w:val="22"/>
          </w:rPr>
          <w:t>124.555(1)</w:t>
        </w:r>
      </w:hyperlink>
      <w:r>
        <w:rPr>
          <w:rFonts w:ascii="Times New Roman" w:hAnsi="Times New Roman"/>
          <w:b w:val="false"/>
          <w:i w:val="false"/>
          <w:color w:val="000000"/>
          <w:sz w:val="22"/>
        </w:rPr>
        <w:t xml:space="preserve"> and may include a multidisciplinary coalition of authorized users who routinely interact with the PMP and one member of the public who is not eligible to register with the PMP.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556.2(2)</w:t>
      </w:r>
      <w:r>
        <w:rPr>
          <w:rFonts w:ascii="Times New Roman" w:hAnsi="Times New Roman"/>
          <w:b w:val="false"/>
          <w:i w:val="false"/>
          <w:color w:val="000000"/>
          <w:sz w:val="22"/>
        </w:rPr>
        <w:t> </w:t>
      </w:r>
      <w:r>
        <w:rPr>
          <w:rFonts w:ascii="Times New Roman" w:hAnsi="Times New Roman"/>
          <w:b w:val="false"/>
          <w:i/>
          <w:color w:val="000000"/>
          <w:sz w:val="22"/>
        </w:rPr>
        <w:t xml:space="preserve">Term of appointment. </w:t>
      </w:r>
      <w:r>
        <w:rPr>
          <w:rFonts w:ascii="Times New Roman" w:hAnsi="Times New Roman"/>
          <w:b w:val="false"/>
          <w:i w:val="false"/>
          <w:color w:val="000000"/>
          <w:sz w:val="22"/>
        </w:rPr>
        <w:t>Committee members will be appointed by the board for a three-year term and may be reappointed by the board for no more than two additional terms. Each term will expire on June 30 of the third year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556.2(3)</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quorum will be a majority of the appointed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appointment. </w:t>
      </w:r>
      <w:r>
        <w:rPr>
          <w:rFonts w:ascii="Times New Roman" w:hAnsi="Times New Roman"/>
          <w:b w:val="false"/>
          <w:i w:val="false"/>
          <w:color w:val="000000"/>
          <w:sz w:val="22"/>
        </w:rPr>
        <w:t>A committee member who is no longer eligible or able to serve on the committee will submit a written resignation to the board. A committee member who fails to attend three consecutive regular committee meetings is deemed to have resigned.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481—556.3</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Authorized access to PMP information pursuant to Iowa Code section </w:t>
      </w:r>
      <w:hyperlink r:id="rId7">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will be available only to registered users,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556.3(2)</w:t>
      </w:r>
      <w:r>
        <w:rPr>
          <w:rFonts w:ascii="Times New Roman" w:hAnsi="Times New Roman"/>
          <w:b w:val="false"/>
          <w:i w:val="false"/>
          <w:color w:val="000000"/>
          <w:sz w:val="22"/>
        </w:rPr>
        <w:t> </w:t>
      </w:r>
      <w:r>
        <w:rPr>
          <w:rFonts w:ascii="Times New Roman" w:hAnsi="Times New Roman"/>
          <w:b w:val="false"/>
          <w:i/>
          <w:color w:val="000000"/>
          <w:sz w:val="22"/>
        </w:rPr>
        <w:t xml:space="preserve">Registration not needed. </w:t>
      </w:r>
      <w:r>
        <w:rPr>
          <w:rFonts w:ascii="Times New Roman" w:hAnsi="Times New Roman"/>
          <w:b w:val="false"/>
          <w:i w:val="false"/>
          <w:color w:val="000000"/>
          <w:sz w:val="22"/>
        </w:rPr>
        <w:t>Individuals seeking their own individual prescription records need not register with the PMP.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556.3(3)</w:t>
      </w:r>
      <w:r>
        <w:rPr>
          <w:rFonts w:ascii="Times New Roman" w:hAnsi="Times New Roman"/>
          <w:b w:val="false"/>
          <w:i w:val="false"/>
          <w:color w:val="000000"/>
          <w:sz w:val="22"/>
        </w:rPr>
        <w:t> </w:t>
      </w:r>
      <w:r>
        <w:rPr>
          <w:rFonts w:ascii="Times New Roman" w:hAnsi="Times New Roman"/>
          <w:b w:val="false"/>
          <w:i/>
          <w:color w:val="000000"/>
          <w:sz w:val="22"/>
        </w:rPr>
        <w:t xml:space="preserve">Practitioner’s delegates. </w:t>
      </w:r>
      <w:r>
        <w:rPr>
          <w:rFonts w:ascii="Times New Roman" w:hAnsi="Times New Roman"/>
          <w:b w:val="false"/>
          <w:i w:val="false"/>
          <w:color w:val="000000"/>
          <w:sz w:val="22"/>
        </w:rPr>
        <w:t>A practitioner may authorize an adequate number of credentialed health care professionals, not exceeding 30, who are directly involved in the care of the patient to access PMP information. The practitioner is responsible for the PMP information access of the delegates.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481—556.4</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556.4(1)</w:t>
      </w:r>
      <w:r>
        <w:rPr>
          <w:rFonts w:ascii="Times New Roman" w:hAnsi="Times New Roman"/>
          <w:b w:val="false"/>
          <w:i w:val="false"/>
          <w:color w:val="000000"/>
          <w:sz w:val="22"/>
        </w:rPr>
        <w:t> </w:t>
      </w:r>
      <w:r>
        <w:rPr>
          <w:rFonts w:ascii="Times New Roman" w:hAnsi="Times New Roman"/>
          <w:b w:val="false"/>
          <w:i/>
          <w:color w:val="000000"/>
          <w:sz w:val="22"/>
        </w:rPr>
        <w:t xml:space="preserve">Reportable data. </w:t>
      </w:r>
      <w:r>
        <w:rPr>
          <w:rFonts w:ascii="Times New Roman" w:hAnsi="Times New Roman"/>
          <w:b w:val="false"/>
          <w:i w:val="false"/>
          <w:color w:val="000000"/>
          <w:sz w:val="22"/>
        </w:rPr>
        <w:t xml:space="preserve">The following will be reported to the PMP in accordance with Iowa Code sections </w:t>
      </w:r>
      <w:hyperlink r:id="rId8">
        <w:r>
          <w:rPr>
            <w:rStyle w:val="Hyperlink"/>
            <w:rFonts w:ascii="Times New Roman" w:hAnsi="Times New Roman"/>
            <w:b w:val="false"/>
            <w:i w:val="false"/>
            <w:color w:val="000000"/>
            <w:sz w:val="22"/>
          </w:rPr>
          <w:t>124.551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124.552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124.554(1)</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Controlled substances dispensed to a patient for self-administration.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Opioid antagonists dispensed or administered by a practitioner,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an emergency department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 patient upon discharge from a hospital, correctional facility or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pharmacy did not dispense or administer any reportable prescriptions during a reporting period, a zero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556.4(2)</w:t>
      </w:r>
      <w:r>
        <w:rPr>
          <w:rFonts w:ascii="Times New Roman" w:hAnsi="Times New Roman"/>
          <w:b w:val="false"/>
          <w:i w:val="false"/>
          <w:color w:val="000000"/>
          <w:sz w:val="22"/>
        </w:rPr>
        <w:t> </w:t>
      </w:r>
      <w:r>
        <w:rPr>
          <w:rFonts w:ascii="Times New Roman" w:hAnsi="Times New Roman"/>
          <w:b w:val="false"/>
          <w:i/>
          <w:color w:val="000000"/>
          <w:sz w:val="22"/>
        </w:rPr>
        <w:t xml:space="preserve">Required data elements.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required in Iowa Code section </w:t>
      </w:r>
      <w:hyperlink r:id="rId11">
        <w:r>
          <w:rPr>
            <w:rStyle w:val="Hyperlink"/>
            <w:rFonts w:ascii="Times New Roman" w:hAnsi="Times New Roman"/>
            <w:b w:val="false"/>
            <w:i w:val="false"/>
            <w:color w:val="000000"/>
            <w:sz w:val="22"/>
          </w:rPr>
          <w:t>124.552(1)</w:t>
        </w:r>
      </w:hyperlink>
      <w:r>
        <w:rPr>
          <w:rFonts w:ascii="Times New Roman" w:hAnsi="Times New Roman"/>
          <w:b w:val="false"/>
          <w:i w:val="false"/>
          <w:color w:val="000000"/>
          <w:sz w:val="22"/>
        </w:rPr>
        <w:t>, the following elements will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of transmission of prescription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Refill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refills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 exceptional circumstance, a practitioner may request an extension of time for transmitting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556.4(3)</w:t>
      </w:r>
      <w:r>
        <w:rPr>
          <w:rFonts w:ascii="Times New Roman" w:hAnsi="Times New Roman"/>
          <w:b w:val="false"/>
          <w:i w:val="false"/>
          <w:color w:val="000000"/>
          <w:sz w:val="22"/>
        </w:rPr>
        <w:t> </w:t>
      </w:r>
      <w:r>
        <w:rPr>
          <w:rFonts w:ascii="Times New Roman" w:hAnsi="Times New Roman"/>
          <w:b w:val="false"/>
          <w:i/>
          <w:color w:val="000000"/>
          <w:sz w:val="22"/>
        </w:rPr>
        <w:t xml:space="preserve">Exemptions—practitioners. </w:t>
      </w:r>
      <w:r>
        <w:rPr>
          <w:rFonts w:ascii="Times New Roman" w:hAnsi="Times New Roman"/>
          <w:b w:val="false"/>
          <w:i w:val="false"/>
          <w:color w:val="000000"/>
          <w:sz w:val="22"/>
        </w:rPr>
        <w:t>The following are exempt from reporting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veterinarian in the normal course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DEA-registered narcotic treatment program that is subject to the recordkeeping provisions of </w:t>
      </w:r>
      <w:r>
        <w:rPr>
          <w:rFonts w:ascii="Times New Roman" w:hAnsi="Times New Roman"/>
          <w:b w:val="false"/>
          <w:i w:val="false"/>
          <w:color w:val="000000"/>
          <w:sz w:val="22"/>
        </w:rPr>
        <w:t>21 CFR 1304.24</w:t>
      </w:r>
      <w:r>
        <w:rPr>
          <w:rFonts w:ascii="Times New Roman" w:hAnsi="Times New Roman"/>
          <w:b w:val="false"/>
          <w:i w:val="false"/>
          <w:color w:val="000000"/>
          <w:sz w:val="22"/>
        </w:rPr>
        <w:t xml:space="preserve"> as amended on June 28,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556.4(4)</w:t>
      </w:r>
      <w:r>
        <w:rPr>
          <w:rFonts w:ascii="Times New Roman" w:hAnsi="Times New Roman"/>
          <w:b w:val="false"/>
          <w:i w:val="false"/>
          <w:color w:val="000000"/>
          <w:sz w:val="22"/>
        </w:rPr>
        <w:t> </w:t>
      </w:r>
      <w:r>
        <w:rPr>
          <w:rFonts w:ascii="Times New Roman" w:hAnsi="Times New Roman"/>
          <w:b w:val="false"/>
          <w:i/>
          <w:color w:val="000000"/>
          <w:sz w:val="22"/>
        </w:rPr>
        <w:t xml:space="preserve">Board notification. </w:t>
      </w:r>
      <w:r>
        <w:rPr>
          <w:rFonts w:ascii="Times New Roman" w:hAnsi="Times New Roman"/>
          <w:b w:val="false"/>
          <w:i w:val="false"/>
          <w:color w:val="000000"/>
          <w:sz w:val="22"/>
        </w:rPr>
        <w:t>A pharmacy that does not engage in any reportable dispensing or administration will notify the board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556.4(5)</w:t>
      </w:r>
      <w:r>
        <w:rPr>
          <w:rFonts w:ascii="Times New Roman" w:hAnsi="Times New Roman"/>
          <w:b w:val="false"/>
          <w:i w:val="false"/>
          <w:color w:val="000000"/>
          <w:sz w:val="22"/>
        </w:rPr>
        <w:t> </w:t>
      </w:r>
      <w:r>
        <w:rPr>
          <w:rFonts w:ascii="Times New Roman" w:hAnsi="Times New Roman"/>
          <w:b w:val="false"/>
          <w:i/>
          <w:color w:val="000000"/>
          <w:sz w:val="22"/>
        </w:rPr>
        <w:t xml:space="preserve">Submission format. </w:t>
      </w:r>
      <w:r>
        <w:rPr>
          <w:rFonts w:ascii="Times New Roman" w:hAnsi="Times New Roman"/>
          <w:b w:val="false"/>
          <w:i w:val="false"/>
          <w:color w:val="000000"/>
          <w:sz w:val="22"/>
        </w:rPr>
        <w:t>Data will be transmitted via the PMP’s current version of data upload or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556.4(6)</w:t>
      </w:r>
      <w:r>
        <w:rPr>
          <w:rFonts w:ascii="Times New Roman" w:hAnsi="Times New Roman"/>
          <w:b w:val="false"/>
          <w:i w:val="false"/>
          <w:color w:val="000000"/>
          <w:sz w:val="22"/>
        </w:rPr>
        <w:t> </w:t>
      </w:r>
      <w:r>
        <w:rPr>
          <w:rFonts w:ascii="Times New Roman" w:hAnsi="Times New Roman"/>
          <w:b w:val="false"/>
          <w:i/>
          <w:color w:val="000000"/>
          <w:sz w:val="22"/>
        </w:rPr>
        <w:t xml:space="preserve">Submission errors. </w:t>
      </w:r>
      <w:r>
        <w:rPr>
          <w:rFonts w:ascii="Times New Roman" w:hAnsi="Times New Roman"/>
          <w:b w:val="false"/>
          <w:i w:val="false"/>
          <w:color w:val="000000"/>
          <w:sz w:val="22"/>
        </w:rPr>
        <w:t>Upon notification of a potential error in program information, the reporting practitioner will promptly correct the error.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481—556.5</w:t>
      </w:r>
      <w:r>
        <w:rPr>
          <w:rFonts w:ascii="Times New Roman" w:hAnsi="Times New Roman"/>
          <w:b/>
          <w:i w:val="false"/>
          <w:color w:val="000000"/>
          <w:sz w:val="22"/>
        </w:rPr>
        <w:t xml:space="preserve">(124)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556.5(1)</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The board will collect, store, and disseminate program information using technology that utilizes encryption as defined in Iowa Code section </w:t>
      </w:r>
      <w:hyperlink r:id="rId12">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556.5(2)</w:t>
      </w:r>
      <w:r>
        <w:rPr>
          <w:rFonts w:ascii="Times New Roman" w:hAnsi="Times New Roman"/>
          <w:b w:val="false"/>
          <w:i w:val="false"/>
          <w:color w:val="000000"/>
          <w:sz w:val="22"/>
        </w:rPr>
        <w:t> </w:t>
      </w:r>
      <w:r>
        <w:rPr>
          <w:rFonts w:ascii="Times New Roman" w:hAnsi="Times New Roman"/>
          <w:b w:val="false"/>
          <w:i/>
          <w:color w:val="000000"/>
          <w:sz w:val="22"/>
        </w:rPr>
        <w:t xml:space="preserve">Integrated systems. </w:t>
      </w:r>
      <w:r>
        <w:rPr>
          <w:rFonts w:ascii="Times New Roman" w:hAnsi="Times New Roman"/>
          <w:b w:val="false"/>
          <w:i w:val="false"/>
          <w:color w:val="000000"/>
          <w:sz w:val="22"/>
        </w:rPr>
        <w:t>A practitioner, pharmacy, or health care system utilizing an integrated system to connect its electronic health record or data processing system with the PMP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maintenance of user access logs for four years from the date of access, including the identification of the practitioner for which a delegate accessed program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maintenance of adequate security to prevent unauthorized access, disclosure, or theft of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board within 72 hours of any breach in the electronic health record or data processing system that may have included program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481—556.6</w:t>
      </w:r>
      <w:r>
        <w:rPr>
          <w:rFonts w:ascii="Times New Roman" w:hAnsi="Times New Roman"/>
          <w:b/>
          <w:i w:val="false"/>
          <w:color w:val="000000"/>
          <w:sz w:val="22"/>
        </w:rPr>
        <w:t xml:space="preserve">(124) </w:t>
      </w:r>
      <w:r>
        <w:rPr>
          <w:rFonts w:ascii="Times New Roman" w:hAnsi="Times New Roman"/>
          <w:b/>
          <w:i w:val="false"/>
          <w:color w:val="000000"/>
          <w:sz w:val="22"/>
        </w:rPr>
        <w:t xml:space="preserve">Access to and reporting of PMP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556.6(1)</w:t>
      </w:r>
      <w:r>
        <w:rPr>
          <w:rFonts w:ascii="Times New Roman" w:hAnsi="Times New Roman"/>
          <w:b w:val="false"/>
          <w:i w:val="false"/>
          <w:color w:val="000000"/>
          <w:sz w:val="22"/>
        </w:rPr>
        <w:t> </w:t>
      </w:r>
      <w:r>
        <w:rPr>
          <w:rFonts w:ascii="Times New Roman" w:hAnsi="Times New Roman"/>
          <w:b w:val="false"/>
          <w:i/>
          <w:color w:val="000000"/>
          <w:sz w:val="22"/>
        </w:rPr>
        <w:t xml:space="preserve">Patient requests. </w:t>
      </w:r>
      <w:r>
        <w:rPr>
          <w:rFonts w:ascii="Times New Roman" w:hAnsi="Times New Roman"/>
          <w:b w:val="false"/>
          <w:i w:val="false"/>
          <w:color w:val="000000"/>
          <w:sz w:val="22"/>
        </w:rPr>
        <w:t xml:space="preserve">An individual patient or a patient’s authorized representative may request the patient’s own prescription history report via submission of a completed PMP patient request form via personal, mail, or commercial delivery. A patient’s authorized representative includes an individual with medical power of attorney for the patient, the patient’s attorney, an executor of the patient’s estate, or the patient’s next of kin as defined in Iowa Code section </w:t>
      </w:r>
      <w:hyperlink r:id="rId13">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556.6(2)</w:t>
      </w:r>
      <w:r>
        <w:rPr>
          <w:rFonts w:ascii="Times New Roman" w:hAnsi="Times New Roman"/>
          <w:b w:val="false"/>
          <w:i w:val="false"/>
          <w:color w:val="000000"/>
          <w:sz w:val="22"/>
        </w:rPr>
        <w:t> </w:t>
      </w:r>
      <w:r>
        <w:rPr>
          <w:rFonts w:ascii="Times New Roman" w:hAnsi="Times New Roman"/>
          <w:b w:val="false"/>
          <w:i/>
          <w:color w:val="000000"/>
          <w:sz w:val="22"/>
        </w:rPr>
        <w:t xml:space="preserve">Authorized user requests. </w:t>
      </w:r>
      <w:r>
        <w:rPr>
          <w:rFonts w:ascii="Times New Roman" w:hAnsi="Times New Roman"/>
          <w:b w:val="false"/>
          <w:i w:val="false"/>
          <w:color w:val="000000"/>
          <w:sz w:val="22"/>
        </w:rPr>
        <w:t xml:space="preserve">An individual authorized to receive program information may request program information pursuant to and in accordance with Iowa Code section </w:t>
      </w:r>
      <w:hyperlink r:id="rId14">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via the program platform, which request will include verification of the requestor’s authorization to receive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556.6(3)</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The board or its designee may provide summary, statistical, or aggregate data to public or private entities for statistical, public research, public policy, 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556.6(4)</w:t>
      </w:r>
      <w:r>
        <w:rPr>
          <w:rFonts w:ascii="Times New Roman" w:hAnsi="Times New Roman"/>
          <w:b w:val="false"/>
          <w:i w:val="false"/>
          <w:color w:val="000000"/>
          <w:sz w:val="22"/>
        </w:rPr>
        <w:t> </w:t>
      </w:r>
      <w:r>
        <w:rPr>
          <w:rFonts w:ascii="Times New Roman" w:hAnsi="Times New Roman"/>
          <w:b w:val="false"/>
          <w:i/>
          <w:color w:val="000000"/>
          <w:sz w:val="22"/>
        </w:rPr>
        <w:t xml:space="preserve">Prescriber activity reports. </w:t>
      </w:r>
      <w:r>
        <w:rPr>
          <w:rFonts w:ascii="Times New Roman" w:hAnsi="Times New Roman"/>
          <w:b w:val="false"/>
          <w:i w:val="false"/>
          <w:color w:val="000000"/>
          <w:sz w:val="22"/>
        </w:rPr>
        <w:t xml:space="preserve">At least annually, the board will electronically issue to each prescriber whose prescribed controlled substances were reported to the program during the preceding reporting period an activity report in accordance with Iowa Code section </w:t>
      </w:r>
      <w:hyperlink r:id="rId15">
        <w:r>
          <w:rPr>
            <w:rStyle w:val="Hyperlink"/>
            <w:rFonts w:ascii="Times New Roman" w:hAnsi="Times New Roman"/>
            <w:b w:val="false"/>
            <w:i w:val="false"/>
            <w:color w:val="000000"/>
            <w:sz w:val="22"/>
          </w:rPr>
          <w:t>124.554(3)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556.6(5)</w:t>
      </w:r>
      <w:r>
        <w:rPr>
          <w:rFonts w:ascii="Times New Roman" w:hAnsi="Times New Roman"/>
          <w:b w:val="false"/>
          <w:i w:val="false"/>
          <w:color w:val="000000"/>
          <w:sz w:val="22"/>
        </w:rPr>
        <w:t> </w:t>
      </w:r>
      <w:r>
        <w:rPr>
          <w:rFonts w:ascii="Times New Roman" w:hAnsi="Times New Roman"/>
          <w:b w:val="false"/>
          <w:i/>
          <w:color w:val="000000"/>
          <w:sz w:val="22"/>
        </w:rPr>
        <w:t xml:space="preserve">Proactive notifications. </w:t>
      </w:r>
      <w:r>
        <w:rPr>
          <w:rFonts w:ascii="Times New Roman" w:hAnsi="Times New Roman"/>
          <w:b w:val="false"/>
          <w:i w:val="false"/>
          <w:color w:val="000000"/>
          <w:sz w:val="22"/>
        </w:rPr>
        <w:t>When a patient meets or exceeds the criteria and thresholds determined by the board and the advisory committee, the board will issue a notification to a practitioner that the patient may be at risk of abusing or misusing a controlled substance and suggest review of the patient’s program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124, subchapter VI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9342C</w:t>
      </w:r>
      <w:r>
        <w:rPr>
          <w:rFonts w:ascii="Times New Roman" w:hAnsi="Times New Roman"/>
          <w:b w:val="false"/>
          <w:i w:val="false"/>
          <w:color w:val="000000"/>
          <w:sz w:val="21"/>
        </w:rPr>
        <w:t xml:space="preserve"> (Notice ARC 8423C, IAB 11/27/24; </w:t>
      </w:r>
      <w:r>
        <w:rPr>
          <w:rFonts w:ascii="Times New Roman" w:hAnsi="Times New Roman"/>
          <w:b w:val="false"/>
          <w:i w:val="false"/>
          <w:color w:val="000000"/>
          <w:sz w:val="21"/>
        </w:rPr>
        <w:t>Amended Notice ARC 8979C, IAB 3/5/25)</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556 </w:t>
      </w:r>
      <w:r>
        <w:rPr>
          <w:rFonts w:ascii="Times New Roman" w:hAnsi="Times New Roman"/>
          <w:b/>
          <w:i w:val="false"/>
          <w:color w:val="000000"/>
          <w:sz w:val="22"/>
        </w:rPr>
        <w:t>[ARC 9342C]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555.pdf" Type="http://schemas.openxmlformats.org/officeDocument/2006/relationships/hyperlink" Id="rId6"/>
    <Relationship TargetMode="External" Target="https://www.legis.iowa.gov/docs/ico/chapter/124.553.pdf" Type="http://schemas.openxmlformats.org/officeDocument/2006/relationships/hyperlink" Id="rId7"/>
    <Relationship TargetMode="External" Target="https://www.legis.iowa.gov/docs/ico/chapter/124.551.pdf" Type="http://schemas.openxmlformats.org/officeDocument/2006/relationships/hyperlink" Id="rId8"/>
    <Relationship TargetMode="External" Target="https://www.legis.iowa.gov/docs/ico/chapter/124.552.pdf" Type="http://schemas.openxmlformats.org/officeDocument/2006/relationships/hyperlink" Id="rId9"/>
    <Relationship TargetMode="External" Target="https://www.legis.iowa.gov/docs/ico/chapter/124.554.pdf" Type="http://schemas.openxmlformats.org/officeDocument/2006/relationships/hyperlink" Id="rId10"/>
    <Relationship TargetMode="External" Target="https://www.legis.iowa.gov/docs/ico/chapter/124.552.pdf" Type="http://schemas.openxmlformats.org/officeDocument/2006/relationships/hyperlink" Id="rId11"/>
    <Relationship TargetMode="External" Target="https://www.legis.iowa.gov/docs/ico/chapter/715C.1.pdf" Type="http://schemas.openxmlformats.org/officeDocument/2006/relationships/hyperlink" Id="rId12"/>
    <Relationship TargetMode="External" Target="https://www.legis.iowa.gov/docs/ico/chapter/523A.102.pdf" Type="http://schemas.openxmlformats.org/officeDocument/2006/relationships/hyperlink" Id="rId13"/>
    <Relationship TargetMode="External" Target="https://www.legis.iowa.gov/docs/ico/chapter/124.553.pdf" Type="http://schemas.openxmlformats.org/officeDocument/2006/relationships/hyperlink" Id="rId14"/>
    <Relationship TargetMode="External" Target="https://www.legis.iowa.gov/docs/ico/chapter/124.554.pdf" Type="http://schemas.openxmlformats.org/officeDocument/2006/relationships/hyperlink" Id="rId15"/>
    <Relationship TargetMode="External" Target="https://www.legis.iowa.gov/docs/ico/chapter/12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