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551</w:t>
      </w:r>
    </w:p>
    <w:p>
      <w:pPr>
        <w:spacing w:before="0" w:after="0"/>
        <w:ind w:left="120"/>
        <w:jc w:val="center"/>
      </w:pPr>
      <w:r>
        <w:rPr>
          <w:rFonts w:ascii="Times New Roman" w:hAnsi="Times New Roman"/>
          <w:b w:val="false"/>
          <w:i w:val="false"/>
          <w:color w:val="000000"/>
          <w:sz w:val="21"/>
        </w:rPr>
        <w:t>LICENSES, REGISTRATIONS, AND PERMITS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481—551.1</w:t>
      </w:r>
      <w:r>
        <w:rPr>
          <w:rFonts w:ascii="Times New Roman" w:hAnsi="Times New Roman"/>
          <w:b/>
          <w:i w:val="false"/>
          <w:color w:val="000000"/>
          <w:sz w:val="22"/>
        </w:rPr>
        <w:t xml:space="preserve">(124,147,155A,272C)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found in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are incorporated by reference into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481—551.2</w:t>
      </w:r>
      <w:r>
        <w:rPr>
          <w:rFonts w:ascii="Times New Roman" w:hAnsi="Times New Roman"/>
          <w:b/>
          <w:i w:val="false"/>
          <w:color w:val="000000"/>
          <w:sz w:val="22"/>
        </w:rPr>
        <w:t xml:space="preserve">(124,124B,147,155A,272C)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The board will issue or renew a license, registration or permit upon receipt of a completed application and determination that the applicant has satisfied the requirements of applicable statutes and any additional criteria specified by these rules. A license or registration is necessary prior to engaging in the authorized activity into, out of, or within this state. A permit is necessary prior to engaging in the authorized activity in this state. Except as provided in these rules, the expiration date for any newly issued license, registration or permit will be extended by one year when the initial license, registration or permit is issued within two months of the standard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551.2(2)</w:t>
      </w:r>
      <w:r>
        <w:rPr>
          <w:rFonts w:ascii="Times New Roman" w:hAnsi="Times New Roman"/>
          <w:b w:val="false"/>
          <w:i w:val="false"/>
          <w:color w:val="000000"/>
          <w:sz w:val="22"/>
        </w:rPr>
        <w:t> </w:t>
      </w:r>
      <w:r>
        <w:rPr>
          <w:rFonts w:ascii="Times New Roman" w:hAnsi="Times New Roman"/>
          <w:b w:val="false"/>
          <w:i/>
          <w:color w:val="000000"/>
          <w:sz w:val="22"/>
        </w:rPr>
        <w:t xml:space="preserve">Board forms. </w:t>
      </w:r>
      <w:r>
        <w:rPr>
          <w:rFonts w:ascii="Times New Roman" w:hAnsi="Times New Roman"/>
          <w:b w:val="false"/>
          <w:i w:val="false"/>
          <w:color w:val="000000"/>
          <w:sz w:val="22"/>
        </w:rPr>
        <w:t>Initial applications, renewal applications, and other forms used for licensure, registration, or other purposes will be on board forms unless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551.2(3)</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are nonrefundable and nontransferable and will be considered a repayment receipt as defined in Iowa Code section </w:t>
      </w:r>
      <w:hyperlink r:id="rId6">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Fees apply to applications submitted for initial, changed and renewed licenses, registrations or permits or for a criminal history background check, when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 registration or permit will be invalidated when the method of payment is returned or rejected.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551.2(4)</w:t>
      </w:r>
      <w:r>
        <w:rPr>
          <w:rFonts w:ascii="Times New Roman" w:hAnsi="Times New Roman"/>
          <w:b w:val="false"/>
          <w:i w:val="false"/>
          <w:color w:val="000000"/>
          <w:sz w:val="22"/>
        </w:rPr>
        <w:t> </w:t>
      </w:r>
      <w:r>
        <w:rPr>
          <w:rFonts w:ascii="Times New Roman" w:hAnsi="Times New Roman"/>
          <w:b w:val="false"/>
          <w:i/>
          <w:color w:val="000000"/>
          <w:sz w:val="22"/>
        </w:rPr>
        <w:t xml:space="preserve">Fee table. </w:t>
      </w:r>
    </w:p>
    <w:p>
      <w:pPr>
        <w:spacing w:before="60" w:after="0"/>
        <w:ind w:left="120"/>
        <w:jc w:val="center"/>
      </w:pP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46"/>
        <w:gridCol w:w="1646"/>
        <w:gridCol w:w="1646"/>
        <w:gridCol w:w="1646"/>
        <w:gridCol w:w="1646"/>
        <w:gridCol w:w="1645"/>
        <w:gridCol w:w="1645"/>
      </w:tblGrid>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License/Registration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Application Fee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Background Check Fee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Renewal Period</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Renewal Fee</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Delinquent Renewal Fee</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Reactivation Fee</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Pharmacist</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$630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Pharmacist-Intern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Technician Trainee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w:t>
            </w:r>
          </w:p>
        </w:tc>
      </w:tr>
      <w:tr>
        <w:trPr>
          <w:trHeight w:val="58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Certified Pharmacy Technician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Pharmacy Support Person</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$100</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CSA—Individual</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CSA—Business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 years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$90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r>
      <w:tr>
        <w:trPr>
          <w:trHeight w:val="58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Nonresident Pharmacist in Charge</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w:t>
            </w:r>
          </w:p>
        </w:tc>
      </w:tr>
      <w:tr>
        <w:trPr>
          <w:trHeight w:val="22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Pharmacy</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$135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$270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$540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Wholesale Distributor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$2,000</w:t>
            </w:r>
          </w:p>
        </w:tc>
      </w:tr>
      <w:tr>
        <w:trPr>
          <w:trHeight w:val="300"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3PL Provider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$750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Limited Distributor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$175</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$350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Outsourcing Facility</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$45</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$800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$1,600</w:t>
            </w:r>
          </w:p>
        </w:tc>
      </w:tr>
      <w:tr>
        <w:trPr>
          <w:trHeight w:val="405" w:hRule="atLeast"/>
        </w:trPr>
        <w:tc>
          <w:tcPr>
            <w:tcW w:w="164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Precursor Substances</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N/A</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 year</w:t>
            </w:r>
          </w:p>
        </w:tc>
        <w:tc>
          <w:tcPr>
            <w:tcW w:w="1646"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$180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c>
          <w:tcPr>
            <w:tcW w:w="164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$360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background check. </w:t>
      </w:r>
      <w:r>
        <w:rPr>
          <w:rFonts w:ascii="Times New Roman" w:hAnsi="Times New Roman"/>
          <w:b w:val="false"/>
          <w:i w:val="false"/>
          <w:color w:val="000000"/>
          <w:sz w:val="22"/>
        </w:rPr>
        <w:t xml:space="preserve">The fee for a criminal history background check is $45 and, in accordance with Iowa Code section </w:t>
      </w:r>
      <w:hyperlink r:id="rId7">
        <w:r>
          <w:rPr>
            <w:rStyle w:val="Hyperlink"/>
            <w:rFonts w:ascii="Times New Roman" w:hAnsi="Times New Roman"/>
            <w:b w:val="false"/>
            <w:i w:val="false"/>
            <w:color w:val="000000"/>
            <w:sz w:val="22"/>
          </w:rPr>
          <w:t>155A.40</w:t>
        </w:r>
      </w:hyperlink>
      <w:r>
        <w:rPr>
          <w:rFonts w:ascii="Times New Roman" w:hAnsi="Times New Roman"/>
          <w:b w:val="false"/>
          <w:i w:val="false"/>
          <w:color w:val="000000"/>
          <w:sz w:val="22"/>
        </w:rPr>
        <w:t>, is necessary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Pharmacists.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Outsourcing facility supervising pharmacists, except as provided in subparagraph </w:t>
      </w:r>
      <w:hyperlink r:id="rId8">
        <w:r>
          <w:rPr>
            <w:rStyle w:val="Hyperlink"/>
            <w:rFonts w:ascii="Times New Roman" w:hAnsi="Times New Roman"/>
            <w:b w:val="false"/>
            <w:i w:val="false"/>
            <w:color w:val="000000"/>
            <w:sz w:val="22"/>
          </w:rPr>
          <w:t>551.14(2)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Wholesale distributor and 3PL facility managers, except as provided in paragraphs </w:t>
      </w:r>
      <w:hyperlink r:id="rId9">
        <w:r>
          <w:rPr>
            <w:rStyle w:val="Hyperlink"/>
            <w:rFonts w:ascii="Times New Roman" w:hAnsi="Times New Roman"/>
            <w:b w:val="false"/>
            <w:i w:val="false"/>
            <w:color w:val="000000"/>
            <w:sz w:val="22"/>
          </w:rPr>
          <w:t>551.13(3)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551.16(3)</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551.2(6)</w:t>
      </w:r>
      <w:r>
        <w:rPr>
          <w:rFonts w:ascii="Times New Roman" w:hAnsi="Times New Roman"/>
          <w:b w:val="false"/>
          <w:i w:val="false"/>
          <w:color w:val="000000"/>
          <w:sz w:val="22"/>
        </w:rPr>
        <w:t> </w:t>
      </w:r>
      <w:r>
        <w:rPr>
          <w:rFonts w:ascii="Times New Roman" w:hAnsi="Times New Roman"/>
          <w:b w:val="false"/>
          <w:i/>
          <w:color w:val="000000"/>
          <w:sz w:val="22"/>
        </w:rPr>
        <w:t xml:space="preserve">Separate locations. </w:t>
      </w:r>
      <w:r>
        <w:rPr>
          <w:rFonts w:ascii="Times New Roman" w:hAnsi="Times New Roman"/>
          <w:b w:val="false"/>
          <w:i w:val="false"/>
          <w:color w:val="000000"/>
          <w:sz w:val="22"/>
        </w:rPr>
        <w:t>Each separate business location wherein activities occur that require a license, registration or permit will be separately licensed, registered or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551.2(7)</w:t>
      </w:r>
      <w:r>
        <w:rPr>
          <w:rFonts w:ascii="Times New Roman" w:hAnsi="Times New Roman"/>
          <w:b w:val="false"/>
          <w:i w:val="false"/>
          <w:color w:val="000000"/>
          <w:sz w:val="22"/>
        </w:rPr>
        <w:t> </w:t>
      </w:r>
      <w:r>
        <w:rPr>
          <w:rFonts w:ascii="Times New Roman" w:hAnsi="Times New Roman"/>
          <w:b w:val="false"/>
          <w:i/>
          <w:color w:val="000000"/>
          <w:sz w:val="22"/>
        </w:rPr>
        <w:t xml:space="preserve">Complete applications. </w:t>
      </w:r>
      <w:r>
        <w:rPr>
          <w:rFonts w:ascii="Times New Roman" w:hAnsi="Times New Roman"/>
          <w:b w:val="false"/>
          <w:i w:val="false"/>
          <w:color w:val="000000"/>
          <w:sz w:val="22"/>
        </w:rPr>
        <w:t>An application is considered complete when all application information and fees are submitted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551.2(8)</w:t>
      </w:r>
      <w:r>
        <w:rPr>
          <w:rFonts w:ascii="Times New Roman" w:hAnsi="Times New Roman"/>
          <w:b w:val="false"/>
          <w:i w:val="false"/>
          <w:color w:val="000000"/>
          <w:sz w:val="22"/>
        </w:rPr>
        <w:t> </w:t>
      </w:r>
      <w:r>
        <w:rPr>
          <w:rFonts w:ascii="Times New Roman" w:hAnsi="Times New Roman"/>
          <w:b w:val="false"/>
          <w:i/>
          <w:color w:val="000000"/>
          <w:sz w:val="22"/>
        </w:rPr>
        <w:t xml:space="preserve">Incomplete applications. </w:t>
      </w:r>
      <w:r>
        <w:rPr>
          <w:rFonts w:ascii="Times New Roman" w:hAnsi="Times New Roman"/>
          <w:b w:val="false"/>
          <w:i w:val="false"/>
          <w:color w:val="000000"/>
          <w:sz w:val="22"/>
        </w:rPr>
        <w:t>Applications that remain incomplete after six months from the date of initial board receipt will expire, except that applications for pharmacist licensure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After one year for an application for license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two years for an application for license by examination or score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551.2(9)</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issuance of a new license, registration or permit for any business that will maintain prescription drugs or for any individual CSA registrant who will maintain controlled substances, an inspection will be required, except as provided for limited distributors pursuant to subrule </w:t>
      </w:r>
      <w:hyperlink r:id="rId11">
        <w:r>
          <w:rPr>
            <w:rStyle w:val="Hyperlink"/>
            <w:rFonts w:ascii="Times New Roman" w:hAnsi="Times New Roman"/>
            <w:b w:val="false"/>
            <w:i w:val="false"/>
            <w:color w:val="000000"/>
            <w:sz w:val="22"/>
          </w:rPr>
          <w:t>551.15(1)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CSA registrant that does not maintain stocks of controlled substances will provide notice to the board at least 30 days prior to procuring controlled substances, and an inspection will be required prior to storage of controlled substances at the registered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551.2(10)</w:t>
      </w:r>
      <w:r>
        <w:rPr>
          <w:rFonts w:ascii="Times New Roman" w:hAnsi="Times New Roman"/>
          <w:b w:val="false"/>
          <w:i w:val="false"/>
          <w:color w:val="000000"/>
          <w:sz w:val="22"/>
        </w:rPr>
        <w:t> </w:t>
      </w:r>
      <w:r>
        <w:rPr>
          <w:rFonts w:ascii="Times New Roman" w:hAnsi="Times New Roman"/>
          <w:b w:val="false"/>
          <w:i/>
          <w:color w:val="000000"/>
          <w:sz w:val="22"/>
        </w:rPr>
        <w:t xml:space="preserve">Denial of license, registration or permit.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for denial. </w:t>
      </w:r>
      <w:r>
        <w:rPr>
          <w:rFonts w:ascii="Times New Roman" w:hAnsi="Times New Roman"/>
          <w:b w:val="false"/>
          <w:i w:val="false"/>
          <w:color w:val="000000"/>
          <w:sz w:val="22"/>
        </w:rPr>
        <w:t>The board or authorized delegate may deny the issuance or renewal of a license, registration or permit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violation of the laws of this state, another state, or the United States by the applicant relating to prescription drugs, controlled substances, or nonprescription drugs or for a violation of any rule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receipt of a certificate of noncompliance from child support services of the department of health and human services or the centralized collection unit of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furnishing of false or fraudulent information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Noncompliance with licensing or practice standards under previously granted licenses, registrations or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factors or qualifications the board considers relevant to and consistent with public health and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of denial. </w:t>
      </w:r>
      <w:r>
        <w:rPr>
          <w:rFonts w:ascii="Times New Roman" w:hAnsi="Times New Roman"/>
          <w:b w:val="false"/>
          <w:i w:val="false"/>
          <w:color w:val="000000"/>
          <w:sz w:val="22"/>
        </w:rPr>
        <w:t>An individual whose application is denied may, within 30 days after issuance of the notice of denial, appeal to the board for reconsideration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551.2(11)</w:t>
      </w:r>
      <w:r>
        <w:rPr>
          <w:rFonts w:ascii="Times New Roman" w:hAnsi="Times New Roman"/>
          <w:b w:val="false"/>
          <w:i w:val="false"/>
          <w:color w:val="000000"/>
          <w:sz w:val="22"/>
        </w:rPr>
        <w:t> </w:t>
      </w:r>
      <w:r>
        <w:rPr>
          <w:rFonts w:ascii="Times New Roman" w:hAnsi="Times New Roman"/>
          <w:b w:val="false"/>
          <w:i/>
          <w:color w:val="000000"/>
          <w:sz w:val="22"/>
        </w:rPr>
        <w:t xml:space="preserve">Renewals. </w:t>
      </w:r>
      <w:r>
        <w:rPr>
          <w:rFonts w:ascii="Times New Roman" w:hAnsi="Times New Roman"/>
          <w:b w:val="false"/>
          <w:i w:val="false"/>
          <w:color w:val="000000"/>
          <w:sz w:val="22"/>
        </w:rPr>
        <w:t xml:space="preserve">Renewal applications will be submitted to the board in accordance with Iowa Code section </w:t>
      </w:r>
      <w:hyperlink r:id="rId12">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551.2(12)</w:t>
      </w:r>
      <w:r>
        <w:rPr>
          <w:rFonts w:ascii="Times New Roman" w:hAnsi="Times New Roman"/>
          <w:b w:val="false"/>
          <w:i w:val="false"/>
          <w:color w:val="000000"/>
          <w:sz w:val="22"/>
        </w:rPr>
        <w:t> </w:t>
      </w:r>
      <w:r>
        <w:rPr>
          <w:rFonts w:ascii="Times New Roman" w:hAnsi="Times New Roman"/>
          <w:b w:val="false"/>
          <w:i/>
          <w:color w:val="000000"/>
          <w:sz w:val="22"/>
        </w:rPr>
        <w:t xml:space="preserve">Untimely renewals or change applications. </w:t>
      </w:r>
      <w:r>
        <w:rPr>
          <w:rFonts w:ascii="Times New Roman" w:hAnsi="Times New Roman"/>
          <w:b w:val="false"/>
          <w:i w:val="false"/>
          <w:color w:val="000000"/>
          <w:sz w:val="22"/>
        </w:rPr>
        <w:t>Any licensee, registrant or permittee that fails to timely apply for renewal or change is provided a 30-day grace period to submit an application. The applicant may continue engaging in the authorized activity while the application is pending. Untimely applications will be subject to a late penalty fee that is equal to 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551.2(13)</w:t>
      </w:r>
      <w:r>
        <w:rPr>
          <w:rFonts w:ascii="Times New Roman" w:hAnsi="Times New Roman"/>
          <w:b w:val="false"/>
          <w:i w:val="false"/>
          <w:color w:val="000000"/>
          <w:sz w:val="22"/>
        </w:rPr>
        <w:t> </w:t>
      </w:r>
      <w:r>
        <w:rPr>
          <w:rFonts w:ascii="Times New Roman" w:hAnsi="Times New Roman"/>
          <w:b w:val="false"/>
          <w:i/>
          <w:color w:val="000000"/>
          <w:sz w:val="22"/>
        </w:rPr>
        <w:t xml:space="preserve">Expired licenses, registrations or permits—reactivation. </w:t>
      </w:r>
      <w:r>
        <w:rPr>
          <w:rFonts w:ascii="Times New Roman" w:hAnsi="Times New Roman"/>
          <w:b w:val="false"/>
          <w:i w:val="false"/>
          <w:color w:val="000000"/>
          <w:sz w:val="22"/>
        </w:rPr>
        <w:t>Any licensee, registrant or permittee that fails to apply for renewal or change within the 30-day grace period may not engage in the authorized activity until the license, registration or permit is reactivated. An application will be subject to a fee of four times the application fee,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reactivation fee will not be assessed when the applicant voluntarily canceled the license, registration or permit when the applicant discontinued the authorized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wholesale distributor or 3PL provider license is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pharmacist license is $630.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limited distributor license is $500.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reactivation fee for a precursor substances permit is $360.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551.2(14)</w:t>
      </w:r>
      <w:r>
        <w:rPr>
          <w:rFonts w:ascii="Times New Roman" w:hAnsi="Times New Roman"/>
          <w:b w:val="false"/>
          <w:i w:val="false"/>
          <w:color w:val="000000"/>
          <w:sz w:val="22"/>
        </w:rPr>
        <w:t> </w:t>
      </w:r>
      <w:r>
        <w:rPr>
          <w:rFonts w:ascii="Times New Roman" w:hAnsi="Times New Roman"/>
          <w:b w:val="false"/>
          <w:i/>
          <w:color w:val="000000"/>
          <w:sz w:val="22"/>
        </w:rPr>
        <w:t xml:space="preserve">Termination of licenses, registrations or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business license, registration or permit will terminate when the business ceases to legally exist or discontinues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license or registration will automatically terminate upon the death of the individual or upon the issuance of a superseding license or registration (e.g., issuance of a pharmacist license will result in the termination of the individual’s intern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license or registration was issued by the board based on an underlying license, certificate or other credential and the underlying license, certificate or credential expires or is suspended or revoked, the board may take action to suspend or revoke the license or registration. Board action will not be taken against a pharmacist license issued by license transfer when the pharmacist’s original license upon which license transfer was granted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551.2(15)</w:t>
      </w:r>
      <w:r>
        <w:rPr>
          <w:rFonts w:ascii="Times New Roman" w:hAnsi="Times New Roman"/>
          <w:b w:val="false"/>
          <w:i w:val="false"/>
          <w:color w:val="000000"/>
          <w:sz w:val="22"/>
        </w:rPr>
        <w:t> </w:t>
      </w:r>
      <w:r>
        <w:rPr>
          <w:rFonts w:ascii="Times New Roman" w:hAnsi="Times New Roman"/>
          <w:b w:val="false"/>
          <w:i/>
          <w:color w:val="000000"/>
          <w:sz w:val="22"/>
        </w:rPr>
        <w:t xml:space="preserve">Voluntary cancellations.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Businesses and CSA registrants who stock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registrant or permittee may voluntarily request cancellation via written notice to the board at least 30 days prior to the discontinuation of business. The notice will include the following information: the licensee, registrant or permittee name and address; the license, registration or permit number; the anticipated date of business discontinuation; and, if applicable, the identification of the licensee, registrant or permittee to whom drugs and records will be transferred. A canceled license, registration or permit is not subject to expired status or reactivation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business that has dispensed or distributed prescription or nonprescription products in the previous 18 months will provide written notice, which may include electronic communication, to its customers at least 30 days prior to the discontinuation of business that will include the anticipated date of business discontinuation and the identification of the licensee, registrant or permittee to whom the customers’ records will be transferred.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Individuals. </w:t>
      </w:r>
      <w:r>
        <w:rPr>
          <w:rFonts w:ascii="Times New Roman" w:hAnsi="Times New Roman"/>
          <w:b w:val="false"/>
          <w:i w:val="false"/>
          <w:color w:val="000000"/>
          <w:sz w:val="22"/>
        </w:rPr>
        <w:t xml:space="preserve">An individual licensee or registrant may voluntarily request cancellation via written notice to the board. Except as provided herein for pharmacists, a licensee or registrant who requests voluntary cancellation is not subject to expired status or reactivation requirements. A pharmacist who voluntarily surrenders a license is subject to the reinstatement requirements pursuant to </w:t>
      </w:r>
      <w:hyperlink r:id="rId13">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551.2(16)</w:t>
      </w:r>
      <w:r>
        <w:rPr>
          <w:rFonts w:ascii="Times New Roman" w:hAnsi="Times New Roman"/>
          <w:b w:val="false"/>
          <w:i w:val="false"/>
          <w:color w:val="000000"/>
          <w:sz w:val="22"/>
        </w:rPr>
        <w:t> </w:t>
      </w:r>
      <w:r>
        <w:rPr>
          <w:rFonts w:ascii="Times New Roman" w:hAnsi="Times New Roman"/>
          <w:b w:val="false"/>
          <w:i/>
          <w:color w:val="000000"/>
          <w:sz w:val="22"/>
        </w:rPr>
        <w:t xml:space="preserve">Grounds for discipline. </w:t>
      </w:r>
      <w:r>
        <w:rPr>
          <w:rFonts w:ascii="Times New Roman" w:hAnsi="Times New Roman"/>
          <w:b w:val="false"/>
          <w:i w:val="false"/>
          <w:color w:val="000000"/>
          <w:sz w:val="22"/>
        </w:rPr>
        <w:t xml:space="preserve">In addition to the grounds for discipline identified in </w:t>
      </w:r>
      <w:hyperlink r:id="rId14">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the board may take disciplinary action against a license or registration for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Distribution of drugs for other than lawful purposes, which includes but is not limited to the distribution of counterfeit drugs and the disposition of drugs in violation of Iowa Code chapters </w:t>
      </w:r>
      <w:hyperlink r:id="rId15">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Obtaining, diverting, possessing, or attempting to obtain or possess prescription drugs without lawful authority, including but not limited to forging or altering a prescription for personal use or for distribution.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Practicing pharmacy, or assisting in the practice of pharmacy, while under the influence of alcohol, illicit substances, or prescription drugs or substances for which the licensee does not have a lawful prescription or while impaired by the use of legitimately prescribed 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Noncompliance with a child support order or with a written agreement for payment of child support as evidenced by a certificate of noncompliance issued pursuant to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551.2(17)</w:t>
      </w:r>
      <w:r>
        <w:rPr>
          <w:rFonts w:ascii="Times New Roman" w:hAnsi="Times New Roman"/>
          <w:b w:val="false"/>
          <w:i w:val="false"/>
          <w:color w:val="000000"/>
          <w:sz w:val="22"/>
        </w:rPr>
        <w:t> </w:t>
      </w:r>
      <w:r>
        <w:rPr>
          <w:rFonts w:ascii="Times New Roman" w:hAnsi="Times New Roman"/>
          <w:b w:val="false"/>
          <w:i/>
          <w:color w:val="000000"/>
          <w:sz w:val="22"/>
        </w:rPr>
        <w:t xml:space="preserve">Agency rules adopted by reference. </w:t>
      </w:r>
      <w:r>
        <w:rPr>
          <w:rFonts w:ascii="Times New Roman" w:hAnsi="Times New Roman"/>
          <w:b w:val="false"/>
          <w:i w:val="false"/>
          <w:color w:val="000000"/>
          <w:sz w:val="22"/>
        </w:rPr>
        <w:t>The board adopts by reference the following agency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Military service, veteran reciprocity, and spouses of active-duty service members as found in </w:t>
      </w:r>
      <w:hyperlink r:id="rId19">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Contested cases and informal settlement as found in </w:t>
      </w:r>
      <w:hyperlink r:id="rId2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Discipline as found in </w:t>
      </w:r>
      <w:hyperlink r:id="rId21">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Licensing and child support noncompliance, student loan repayment noncompliance, and nonpayment of state debt as found in </w:t>
      </w:r>
      <w:hyperlink r:id="rId22">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Use of criminal convictions in eligibility determinations and initial licensing decisions as found in </w:t>
      </w:r>
      <w:hyperlink r:id="rId23">
        <w:r>
          <w:rPr>
            <w:rStyle w:val="Hyperlink"/>
            <w:rFonts w:ascii="Times New Roman" w:hAnsi="Times New Roman"/>
            <w:b w:val="false"/>
            <w:i w:val="false"/>
            <w:color w:val="000000"/>
            <w:sz w:val="22"/>
          </w:rPr>
          <w:t>481—Chapter 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481—551.3</w:t>
      </w:r>
      <w:r>
        <w:rPr>
          <w:rFonts w:ascii="Times New Roman" w:hAnsi="Times New Roman"/>
          <w:b/>
          <w:i w:val="false"/>
          <w:color w:val="000000"/>
          <w:sz w:val="22"/>
        </w:rPr>
        <w:t xml:space="preserve">(124,124B,147,155A,272C) </w:t>
      </w:r>
      <w:r>
        <w:rPr>
          <w:rFonts w:ascii="Times New Roman" w:hAnsi="Times New Roman"/>
          <w:b/>
          <w:i w:val="false"/>
          <w:color w:val="000000"/>
          <w:sz w:val="22"/>
        </w:rPr>
        <w:t xml:space="preserve">Notifications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551.3(1)</w:t>
      </w:r>
      <w:r>
        <w:rPr>
          <w:rFonts w:ascii="Times New Roman" w:hAnsi="Times New Roman"/>
          <w:b w:val="false"/>
          <w:i w:val="false"/>
          <w:color w:val="000000"/>
          <w:sz w:val="22"/>
        </w:rPr>
        <w:t> </w:t>
      </w:r>
      <w:r>
        <w:rPr>
          <w:rFonts w:ascii="Times New Roman" w:hAnsi="Times New Roman"/>
          <w:b w:val="false"/>
          <w:i/>
          <w:color w:val="000000"/>
          <w:sz w:val="22"/>
        </w:rPr>
        <w:t xml:space="preserve">Criminal convictions and pleas. </w:t>
      </w:r>
      <w:r>
        <w:rPr>
          <w:rFonts w:ascii="Times New Roman" w:hAnsi="Times New Roman"/>
          <w:b w:val="false"/>
          <w:i w:val="false"/>
          <w:color w:val="000000"/>
          <w:sz w:val="22"/>
        </w:rPr>
        <w:t>Within 30 days of adjudication, any conviction of or entry of a plea of guilty, nolo contendere, or no contest to a crime, other than a minor traffic offense, including if the judgment of conviction or sentence is deferred, will be reported to the board. Notification will include an unredacted copy of the final order of judgment. The notification requirement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individual licensee or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business licensee, registrant or permittee or any owner, supervising pharmacist or facility manager when the conviction is related to the practice of pharmacy or the distribution of drugs.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551.3(2)</w:t>
      </w:r>
      <w:r>
        <w:rPr>
          <w:rFonts w:ascii="Times New Roman" w:hAnsi="Times New Roman"/>
          <w:b w:val="false"/>
          <w:i w:val="false"/>
          <w:color w:val="000000"/>
          <w:sz w:val="22"/>
        </w:rPr>
        <w:t> </w:t>
      </w:r>
      <w:r>
        <w:rPr>
          <w:rFonts w:ascii="Times New Roman" w:hAnsi="Times New Roman"/>
          <w:b w:val="false"/>
          <w:i/>
          <w:color w:val="000000"/>
          <w:sz w:val="22"/>
        </w:rPr>
        <w:t xml:space="preserve">Disciplinary action. </w:t>
      </w:r>
      <w:r>
        <w:rPr>
          <w:rFonts w:ascii="Times New Roman" w:hAnsi="Times New Roman"/>
          <w:b w:val="false"/>
          <w:i w:val="false"/>
          <w:color w:val="000000"/>
          <w:sz w:val="22"/>
        </w:rPr>
        <w:t>Any disciplinary action in another state or federal jurisdiction of a licensee, registrant or permittee or an owner, supervising pharmacist or facility manager of a license, registration or permit relating to the practice of pharmacy or the distribution of drugs will be reported to the board within 30 days of adjudication. Notification will include an unredacted copy of the action or order. Disciplinary action includes but is not limited to citations; reprimands; fines; restrictions; probation; or surrender, suspension or revocation of the license, registration, or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551.3(3)</w:t>
      </w:r>
      <w:r>
        <w:rPr>
          <w:rFonts w:ascii="Times New Roman" w:hAnsi="Times New Roman"/>
          <w:b w:val="false"/>
          <w:i w:val="false"/>
          <w:color w:val="000000"/>
          <w:sz w:val="22"/>
        </w:rPr>
        <w:t> </w:t>
      </w:r>
      <w:r>
        <w:rPr>
          <w:rFonts w:ascii="Times New Roman" w:hAnsi="Times New Roman"/>
          <w:b w:val="false"/>
          <w:i/>
          <w:color w:val="000000"/>
          <w:sz w:val="22"/>
        </w:rPr>
        <w:t xml:space="preserve">Individual licensee or registration changes. </w:t>
      </w:r>
      <w:r>
        <w:rPr>
          <w:rFonts w:ascii="Times New Roman" w:hAnsi="Times New Roman"/>
          <w:b w:val="false"/>
          <w:i w:val="false"/>
          <w:color w:val="000000"/>
          <w:sz w:val="22"/>
        </w:rPr>
        <w:t>Within 30 days of a change to the following, the licensee or registrant will provide the updated information to the board via written notice or via the board’s online licensing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Email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Telephone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Pharmacy of employment, if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Name, of which a written notice will include evidence of the legal name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481—551.4</w:t>
      </w:r>
      <w:r>
        <w:rPr>
          <w:rFonts w:ascii="Times New Roman" w:hAnsi="Times New Roman"/>
          <w:b/>
          <w:i w:val="false"/>
          <w:color w:val="000000"/>
          <w:sz w:val="22"/>
        </w:rPr>
        <w:t xml:space="preserve">(147,155A,272C) </w:t>
      </w:r>
      <w:r>
        <w:rPr>
          <w:rFonts w:ascii="Times New Roman" w:hAnsi="Times New Roman"/>
          <w:b/>
          <w:i w:val="false"/>
          <w:color w:val="000000"/>
          <w:sz w:val="22"/>
        </w:rPr>
        <w:t xml:space="preserve">Pharmacists.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551.4(1)</w:t>
      </w:r>
      <w:r>
        <w:rPr>
          <w:rFonts w:ascii="Times New Roman" w:hAnsi="Times New Roman"/>
          <w:b w:val="false"/>
          <w:i w:val="false"/>
          <w:color w:val="000000"/>
          <w:sz w:val="22"/>
        </w:rPr>
        <w:t> </w:t>
      </w:r>
      <w:r>
        <w:rPr>
          <w:rFonts w:ascii="Times New Roman" w:hAnsi="Times New Roman"/>
          <w:b w:val="false"/>
          <w:i/>
          <w:color w:val="000000"/>
          <w:sz w:val="22"/>
        </w:rPr>
        <w:t xml:space="preserve">License by examination or score transfer. </w:t>
      </w:r>
      <w:r>
        <w:rPr>
          <w:rFonts w:ascii="Times New Roman" w:hAnsi="Times New Roman"/>
          <w:b w:val="false"/>
          <w:i w:val="false"/>
          <w:color w:val="000000"/>
          <w:sz w:val="22"/>
        </w:rPr>
        <w:t xml:space="preserve">An applicant for licensure by examination or score transfer will satisfy the requirements of Iowa Code sections </w:t>
      </w:r>
      <w:hyperlink r:id="rId24">
        <w:r>
          <w:rPr>
            <w:rStyle w:val="Hyperlink"/>
            <w:rFonts w:ascii="Times New Roman" w:hAnsi="Times New Roman"/>
            <w:b w:val="false"/>
            <w:i w:val="false"/>
            <w:color w:val="000000"/>
            <w:sz w:val="22"/>
          </w:rPr>
          <w:t>155A.8</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155A.9</w:t>
        </w:r>
      </w:hyperlink>
      <w:r>
        <w:rPr>
          <w:rFonts w:ascii="Times New Roman" w:hAnsi="Times New Roman"/>
          <w:b w:val="false"/>
          <w:i w:val="false"/>
          <w:color w:val="000000"/>
          <w:sz w:val="22"/>
        </w:rPr>
        <w:t xml:space="preserve"> and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Graduate from an ACPE-accredited college of pharmacy within the United States, or, if a graduate of a foreign college of pharmacy, submit FPGEC certification and preceptor affidavit(s) of satisfactory completion of internship in accordance with subrule </w:t>
      </w:r>
      <w:hyperlink r:id="rId26">
        <w:r>
          <w:rPr>
            <w:rStyle w:val="Hyperlink"/>
            <w:rFonts w:ascii="Times New Roman" w:hAnsi="Times New Roman"/>
            <w:b w:val="false"/>
            <w:i w:val="false"/>
            <w:color w:val="000000"/>
            <w:sz w:val="22"/>
          </w:rPr>
          <w:t>551.6(3)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 the following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NAPLEX. NAPLEX score transfers are accepted for one year from the date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board-approved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551.4(2)</w:t>
      </w:r>
      <w:r>
        <w:rPr>
          <w:rFonts w:ascii="Times New Roman" w:hAnsi="Times New Roman"/>
          <w:b w:val="false"/>
          <w:i w:val="false"/>
          <w:color w:val="000000"/>
          <w:sz w:val="22"/>
        </w:rPr>
        <w:t> </w:t>
      </w:r>
      <w:r>
        <w:rPr>
          <w:rFonts w:ascii="Times New Roman" w:hAnsi="Times New Roman"/>
          <w:b w:val="false"/>
          <w:i/>
          <w:color w:val="000000"/>
          <w:sz w:val="22"/>
        </w:rPr>
        <w:t xml:space="preserve">License transfer—general requirements. </w:t>
      </w:r>
      <w:r>
        <w:rPr>
          <w:rFonts w:ascii="Times New Roman" w:hAnsi="Times New Roman"/>
          <w:b w:val="false"/>
          <w:i w:val="false"/>
          <w:color w:val="000000"/>
          <w:sz w:val="22"/>
        </w:rPr>
        <w:t>An applicant is eligible for license transfer when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Holds a current and unencumbered license in a state or territory of the United States;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Passes a board-approved jurisprudence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551.4(3)</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$180, and the license will expire on June 30 two years after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551.4(4)</w:t>
      </w:r>
      <w:r>
        <w:rPr>
          <w:rFonts w:ascii="Times New Roman" w:hAnsi="Times New Roman"/>
          <w:b w:val="false"/>
          <w:i w:val="false"/>
          <w:color w:val="000000"/>
          <w:sz w:val="22"/>
        </w:rPr>
        <w:t> </w:t>
      </w:r>
      <w:r>
        <w:rPr>
          <w:rFonts w:ascii="Times New Roman" w:hAnsi="Times New Roman"/>
          <w:b w:val="false"/>
          <w:i/>
          <w:color w:val="000000"/>
          <w:sz w:val="22"/>
        </w:rPr>
        <w:t xml:space="preserve">Renewal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Except for the first renewal following licensure by examination, a pharmacist will complete at least 30 hours of continuing education (CE) since the date of issuance or last renewal of the license, except as provided by Iowa Code section </w:t>
      </w:r>
      <w:hyperlink r:id="rId27">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r>
        <w:rPr>
          <w:rFonts w:ascii="Times New Roman" w:hAnsi="Times New Roman"/>
          <w:b w:val="false"/>
          <w:i w:val="false"/>
          <w:color w:val="000000"/>
          <w:sz w:val="22"/>
        </w:rPr>
        <w:t xml:space="preserve"> as a condition for license renewal. The type of CE completed shall be sufficient to meet the standard of care for the pharmacist’s specific practice setting and be provided by an accredited CE provider. The following will be deemed compliant with the CE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Active-duty military personnel serving honorably during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Nonresident pharmacists who are actively licensed in the state in which they live and who do not practice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Child and dependent adult abuse training. </w:t>
      </w:r>
      <w:r>
        <w:rPr>
          <w:rFonts w:ascii="Times New Roman" w:hAnsi="Times New Roman"/>
          <w:b w:val="false"/>
          <w:i w:val="false"/>
          <w:color w:val="000000"/>
          <w:sz w:val="22"/>
        </w:rPr>
        <w:t xml:space="preserve">A pharmacist who, in the course of employment or professional practice, examines, attends, counsels, or treats a minor or dependent adult will provide evidence of completion of training relating to the identification and reporting of child abuse or dependent adult abuse in accordance with Iowa Code section </w:t>
      </w:r>
      <w:hyperlink r:id="rId28">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respectively.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481—551.5</w:t>
      </w:r>
      <w:r>
        <w:rPr>
          <w:rFonts w:ascii="Times New Roman" w:hAnsi="Times New Roman"/>
          <w:b/>
          <w:i w:val="false"/>
          <w:color w:val="000000"/>
          <w:sz w:val="22"/>
        </w:rPr>
        <w:t xml:space="preserve">(155A) </w:t>
      </w:r>
      <w:r>
        <w:rPr>
          <w:rFonts w:ascii="Times New Roman" w:hAnsi="Times New Roman"/>
          <w:b/>
          <w:i w:val="false"/>
          <w:color w:val="000000"/>
          <w:sz w:val="22"/>
        </w:rPr>
        <w:t xml:space="preserve">Nonresident pharmacists in charge. </w:t>
      </w:r>
      <w:r>
        <w:rPr>
          <w:rFonts w:ascii="Times New Roman" w:hAnsi="Times New Roman"/>
          <w:b w:val="false"/>
          <w:i w:val="false"/>
          <w:color w:val="000000"/>
          <w:sz w:val="22"/>
        </w:rPr>
        <w:t xml:space="preserve">Unless currently licensed as a pharmacist in Iowa, the pharmacist in charge of an Iowa-licensed nonresident pharmacy will be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551.5(1)</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r>
        <w:rPr>
          <w:rFonts w:ascii="Times New Roman" w:hAnsi="Times New Roman"/>
          <w:b w:val="false"/>
          <w:i w:val="false"/>
          <w:color w:val="000000"/>
          <w:sz w:val="22"/>
        </w:rPr>
        <w:t>The registration fee is $75, and the registration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551.5(2)</w:t>
      </w:r>
      <w:r>
        <w:rPr>
          <w:rFonts w:ascii="Times New Roman" w:hAnsi="Times New Roman"/>
          <w:b w:val="false"/>
          <w:i w:val="false"/>
          <w:color w:val="000000"/>
          <w:sz w:val="22"/>
        </w:rPr>
        <w:t> </w:t>
      </w:r>
      <w:r>
        <w:rPr>
          <w:rFonts w:ascii="Times New Roman" w:hAnsi="Times New Roman"/>
          <w:b w:val="false"/>
          <w:i/>
          <w:color w:val="000000"/>
          <w:sz w:val="22"/>
        </w:rPr>
        <w:t xml:space="preserve">Change. </w:t>
      </w:r>
      <w:r>
        <w:rPr>
          <w:rFonts w:ascii="Times New Roman" w:hAnsi="Times New Roman"/>
          <w:b w:val="false"/>
          <w:i w:val="false"/>
          <w:color w:val="000000"/>
          <w:sz w:val="22"/>
        </w:rPr>
        <w:t>Within 30 days of a change to the home state license or registration information or status, the registrant will provide written notice of the change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481—551.6</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Pharmacist-interns.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551.6(1)</w:t>
      </w:r>
      <w:r>
        <w:rPr>
          <w:rFonts w:ascii="Times New Roman" w:hAnsi="Times New Roman"/>
          <w:b w:val="false"/>
          <w:i w:val="false"/>
          <w:color w:val="000000"/>
          <w:sz w:val="22"/>
        </w:rPr>
        <w:t> </w:t>
      </w:r>
      <w:r>
        <w:rPr>
          <w:rFonts w:ascii="Times New Roman" w:hAnsi="Times New Roman"/>
          <w:b w:val="false"/>
          <w:i/>
          <w:color w:val="000000"/>
          <w:sz w:val="22"/>
        </w:rPr>
        <w:t xml:space="preserve">Registration required. </w:t>
      </w:r>
      <w:r>
        <w:rPr>
          <w:rFonts w:ascii="Times New Roman" w:hAnsi="Times New Roman"/>
          <w:b w:val="false"/>
          <w:i w:val="false"/>
          <w:color w:val="000000"/>
          <w:sz w:val="22"/>
        </w:rPr>
        <w:t xml:space="preserve">Unless currently licensed as a pharmacist in Iowa, an individual completing an internship, fellowship, or residency experience will be registered.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551.6(2)</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r>
        <w:rPr>
          <w:rFonts w:ascii="Times New Roman" w:hAnsi="Times New Roman"/>
          <w:b w:val="false"/>
          <w:i w:val="false"/>
          <w:color w:val="000000"/>
          <w:sz w:val="22"/>
        </w:rPr>
        <w:t>The registration fee is $30, and the registration will expire one year following graduation from a college of pharmacy, following completion of a residency or fellowship, upon withdrawal from a college of pharmacy, or upon pharmacist licensure in Iowa,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551.6(3)</w:t>
      </w:r>
      <w:r>
        <w:rPr>
          <w:rFonts w:ascii="Times New Roman" w:hAnsi="Times New Roman"/>
          <w:b w:val="false"/>
          <w:i w:val="false"/>
          <w:color w:val="000000"/>
          <w:sz w:val="22"/>
        </w:rPr>
        <w:t> </w:t>
      </w:r>
      <w:r>
        <w:rPr>
          <w:rFonts w:ascii="Times New Roman" w:hAnsi="Times New Roman"/>
          <w:b w:val="false"/>
          <w:i/>
          <w:color w:val="000000"/>
          <w:sz w:val="22"/>
        </w:rPr>
        <w:t xml:space="preserve">Internship credit. </w:t>
      </w:r>
      <w:r>
        <w:rPr>
          <w:rFonts w:ascii="Times New Roman" w:hAnsi="Times New Roman"/>
          <w:b w:val="false"/>
          <w:i w:val="false"/>
          <w:color w:val="000000"/>
          <w:sz w:val="22"/>
        </w:rPr>
        <w:t xml:space="preserve">Credit for internship hours completed in Iowa will only be granted for the pharmacy practice experience completed under the supervision of a preceptor during the period the pharmacist-intern was registered. Internship hours will remain valid for application for licensure by examination or score transfer pursuant to rule </w:t>
      </w:r>
      <w:hyperlink r:id="rId30">
        <w:r>
          <w:rPr>
            <w:rStyle w:val="Hyperlink"/>
            <w:rFonts w:ascii="Times New Roman" w:hAnsi="Times New Roman"/>
            <w:b w:val="false"/>
            <w:i w:val="false"/>
            <w:color w:val="000000"/>
            <w:sz w:val="22"/>
          </w:rPr>
          <w:t>481—551.4</w:t>
        </w:r>
      </w:hyperlink>
      <w:r>
        <w:rPr>
          <w:rFonts w:ascii="Times New Roman" w:hAnsi="Times New Roman"/>
          <w:b w:val="false"/>
          <w:i w:val="false"/>
          <w:color w:val="000000"/>
          <w:sz w:val="22"/>
        </w:rPr>
        <w:t>(147,155A,272C) for three years from the earlier of the date of graduation from an ACPE-accredited college of pharmacy or the expiration of the pharmacist-intern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481—551.7</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technicians. </w:t>
      </w:r>
      <w:r>
        <w:rPr>
          <w:rFonts w:ascii="Times New Roman" w:hAnsi="Times New Roman"/>
          <w:b w:val="false"/>
          <w:i w:val="false"/>
          <w:color w:val="000000"/>
          <w:sz w:val="22"/>
        </w:rPr>
        <w:t>Prior to engaging in technical functions in an Iowa pharmacy, an individual will register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551.7(1)</w:t>
      </w:r>
      <w:r>
        <w:rPr>
          <w:rFonts w:ascii="Times New Roman" w:hAnsi="Times New Roman"/>
          <w:b w:val="false"/>
          <w:i w:val="false"/>
          <w:color w:val="000000"/>
          <w:sz w:val="22"/>
        </w:rPr>
        <w:t> </w:t>
      </w:r>
      <w:r>
        <w:rPr>
          <w:rFonts w:ascii="Times New Roman" w:hAnsi="Times New Roman"/>
          <w:b w:val="false"/>
          <w:i/>
          <w:color w:val="000000"/>
          <w:sz w:val="22"/>
        </w:rPr>
        <w:t xml:space="preserve">Technician trainee. </w:t>
      </w:r>
      <w:r>
        <w:rPr>
          <w:rFonts w:ascii="Times New Roman" w:hAnsi="Times New Roman"/>
          <w:b w:val="false"/>
          <w:i w:val="false"/>
          <w:color w:val="000000"/>
          <w:sz w:val="22"/>
        </w:rPr>
        <w:t>An individual who does not hold current and active national pharmacy technician certification will register as a technician trainee. The registration fee is $20, and the registration will expire one year after initial registration. When necessary due to exceptional circumstances, a technician trainee will be limited to one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551.7(2)</w:t>
      </w: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An individual who holds current and active national pharmacy technician certification will register as a technician. The registration fee is $20 per annum, and the registration will expire on the date that the technician’s national certification expires.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481—551.8</w:t>
      </w:r>
      <w:r>
        <w:rPr>
          <w:rFonts w:ascii="Times New Roman" w:hAnsi="Times New Roman"/>
          <w:b/>
          <w:i w:val="false"/>
          <w:color w:val="000000"/>
          <w:sz w:val="22"/>
        </w:rPr>
        <w:t xml:space="preserve">(155A) </w:t>
      </w:r>
      <w:r>
        <w:rPr>
          <w:rFonts w:ascii="Times New Roman" w:hAnsi="Times New Roman"/>
          <w:b/>
          <w:i w:val="false"/>
          <w:color w:val="000000"/>
          <w:sz w:val="22"/>
        </w:rPr>
        <w:t xml:space="preserve">Pharmacy support persons. </w:t>
      </w:r>
      <w:r>
        <w:rPr>
          <w:rFonts w:ascii="Times New Roman" w:hAnsi="Times New Roman"/>
          <w:b w:val="false"/>
          <w:i w:val="false"/>
          <w:color w:val="000000"/>
          <w:sz w:val="22"/>
        </w:rPr>
        <w:t>The registration fee is $25, and the registration will expire the last day of the birth month the second year after initial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481—551.9</w:t>
      </w:r>
      <w:r>
        <w:rPr>
          <w:rFonts w:ascii="Times New Roman" w:hAnsi="Times New Roman"/>
          <w:b/>
          <w:i w:val="false"/>
          <w:color w:val="000000"/>
          <w:sz w:val="22"/>
        </w:rPr>
        <w:t xml:space="preserve">(124) </w:t>
      </w:r>
      <w:r>
        <w:rPr>
          <w:rFonts w:ascii="Times New Roman" w:hAnsi="Times New Roman"/>
          <w:b/>
          <w:i w:val="false"/>
          <w:color w:val="000000"/>
          <w:sz w:val="22"/>
        </w:rPr>
        <w:t xml:space="preserve">CSA—individuals.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independent activities. </w:t>
      </w:r>
      <w:r>
        <w:rPr>
          <w:rFonts w:ascii="Times New Roman" w:hAnsi="Times New Roman"/>
          <w:b w:val="false"/>
          <w:i w:val="false"/>
          <w:color w:val="000000"/>
          <w:sz w:val="22"/>
        </w:rPr>
        <w:t xml:space="preserve">A separate registration will be necessary for each separate independent activity as provided in </w:t>
      </w:r>
      <w:r>
        <w:rPr>
          <w:rFonts w:ascii="Times New Roman" w:hAnsi="Times New Roman"/>
          <w:b w:val="false"/>
          <w:i w:val="false"/>
          <w:color w:val="000000"/>
          <w:sz w:val="22"/>
        </w:rPr>
        <w:t>21 CFR §1301.13</w:t>
      </w:r>
      <w:r>
        <w:rPr>
          <w:rFonts w:ascii="Times New Roman" w:hAnsi="Times New Roman"/>
          <w:b w:val="false"/>
          <w:i w:val="false"/>
          <w:color w:val="000000"/>
          <w:sz w:val="22"/>
        </w:rPr>
        <w:t xml:space="preserve"> as amended on April 11,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551.9(2)</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separate locations—exemption. </w:t>
      </w:r>
      <w:r>
        <w:rPr>
          <w:rFonts w:ascii="Times New Roman" w:hAnsi="Times New Roman"/>
          <w:b w:val="false"/>
          <w:i w:val="false"/>
          <w:color w:val="000000"/>
          <w:sz w:val="22"/>
        </w:rPr>
        <w:t xml:space="preserve">Notwithstanding subrule </w:t>
      </w:r>
      <w:hyperlink r:id="rId31">
        <w:r>
          <w:rPr>
            <w:rStyle w:val="Hyperlink"/>
            <w:rFonts w:ascii="Times New Roman" w:hAnsi="Times New Roman"/>
            <w:b w:val="false"/>
            <w:i w:val="false"/>
            <w:color w:val="000000"/>
            <w:sz w:val="22"/>
          </w:rPr>
          <w:t>551.2(6)</w:t>
        </w:r>
      </w:hyperlink>
      <w:r>
        <w:rPr>
          <w:rFonts w:ascii="Times New Roman" w:hAnsi="Times New Roman"/>
          <w:b w:val="false"/>
          <w:i w:val="false"/>
          <w:color w:val="000000"/>
          <w:sz w:val="22"/>
        </w:rPr>
        <w:t>, a registered prescriber will not be required to obtain a separate registration for each additional location where the prescriber prescribes or administers controlled substances but does not procure or maintain stocks of controlled substances under the prescriber’s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and duration.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Researchers. </w:t>
      </w:r>
      <w:r>
        <w:rPr>
          <w:rFonts w:ascii="Times New Roman" w:hAnsi="Times New Roman"/>
          <w:b w:val="false"/>
          <w:i w:val="false"/>
          <w:color w:val="000000"/>
          <w:sz w:val="22"/>
        </w:rPr>
        <w:t>The registration fee is $90, and the registration will expire the last day of the month the second year after initial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Practitioners. </w:t>
      </w:r>
      <w:r>
        <w:rPr>
          <w:rFonts w:ascii="Times New Roman" w:hAnsi="Times New Roman"/>
          <w:b w:val="false"/>
          <w:i w:val="false"/>
          <w:color w:val="000000"/>
          <w:sz w:val="22"/>
        </w:rPr>
        <w:t>The registration fee is $45 per annum, and the registration will expire on the date that the practitioner’s Iowa professional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551.9(4)</w:t>
      </w:r>
      <w:r>
        <w:rPr>
          <w:rFonts w:ascii="Times New Roman" w:hAnsi="Times New Roman"/>
          <w:b w:val="false"/>
          <w:i w:val="false"/>
          <w:color w:val="000000"/>
          <w:sz w:val="22"/>
        </w:rPr>
        <w:t> </w:t>
      </w:r>
      <w:r>
        <w:rPr>
          <w:rFonts w:ascii="Times New Roman" w:hAnsi="Times New Roman"/>
          <w:b w:val="false"/>
          <w:i/>
          <w:color w:val="000000"/>
          <w:sz w:val="22"/>
        </w:rPr>
        <w:t xml:space="preserve">Exempt from registration. </w:t>
      </w:r>
      <w:r>
        <w:rPr>
          <w:rFonts w:ascii="Times New Roman" w:hAnsi="Times New Roman"/>
          <w:b w:val="false"/>
          <w:i w:val="false"/>
          <w:color w:val="000000"/>
          <w:sz w:val="22"/>
        </w:rPr>
        <w:t xml:space="preserve">An individual practitioner who meets the conditions of </w:t>
      </w:r>
      <w:r>
        <w:rPr>
          <w:rFonts w:ascii="Times New Roman" w:hAnsi="Times New Roman"/>
          <w:b w:val="false"/>
          <w:i w:val="false"/>
          <w:color w:val="000000"/>
          <w:sz w:val="22"/>
        </w:rPr>
        <w:t>21 CFR §1301.22(c)</w:t>
      </w:r>
      <w:r>
        <w:rPr>
          <w:rFonts w:ascii="Times New Roman" w:hAnsi="Times New Roman"/>
          <w:b w:val="false"/>
          <w:i w:val="false"/>
          <w:color w:val="000000"/>
          <w:sz w:val="22"/>
        </w:rPr>
        <w:t xml:space="preserve"> amended to March 24, 1997, is exempt from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551.9(5)</w:t>
      </w:r>
      <w:r>
        <w:rPr>
          <w:rFonts w:ascii="Times New Roman" w:hAnsi="Times New Roman"/>
          <w:b w:val="false"/>
          <w:i w:val="false"/>
          <w:color w:val="000000"/>
          <w:sz w:val="22"/>
        </w:rPr>
        <w:t> </w:t>
      </w:r>
      <w:r>
        <w:rPr>
          <w:rFonts w:ascii="Times New Roman" w:hAnsi="Times New Roman"/>
          <w:b w:val="false"/>
          <w:i/>
          <w:color w:val="000000"/>
          <w:sz w:val="22"/>
        </w:rPr>
        <w:t xml:space="preserve">Changes. </w:t>
      </w:r>
      <w:r>
        <w:rPr>
          <w:rFonts w:ascii="Times New Roman" w:hAnsi="Times New Roman"/>
          <w:b w:val="false"/>
          <w:i w:val="false"/>
          <w:color w:val="000000"/>
          <w:sz w:val="22"/>
        </w:rPr>
        <w:t>Within 30 days of a change to the registered location or substances authorized, the registrant will provide the updated information to the board via written notice or via the board’s online licensing database.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2/18/26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481—551.10</w:t>
      </w:r>
      <w:r>
        <w:rPr>
          <w:rFonts w:ascii="Times New Roman" w:hAnsi="Times New Roman"/>
          <w:b/>
          <w:i w:val="false"/>
          <w:color w:val="000000"/>
          <w:sz w:val="22"/>
        </w:rPr>
        <w:t xml:space="preserve">(124,155A) </w:t>
      </w:r>
      <w:r>
        <w:rPr>
          <w:rFonts w:ascii="Times New Roman" w:hAnsi="Times New Roman"/>
          <w:b/>
          <w:i w:val="false"/>
          <w:color w:val="000000"/>
          <w:sz w:val="22"/>
        </w:rPr>
        <w:t xml:space="preserve">Pharmacies.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551.10(1)</w:t>
      </w:r>
      <w:r>
        <w:rPr>
          <w:rFonts w:ascii="Times New Roman" w:hAnsi="Times New Roman"/>
          <w:b w:val="false"/>
          <w:i w:val="false"/>
          <w:color w:val="000000"/>
          <w:sz w:val="22"/>
        </w:rPr>
        <w:t> </w:t>
      </w:r>
      <w:r>
        <w:rPr>
          <w:rFonts w:ascii="Times New Roman" w:hAnsi="Times New Roman"/>
          <w:b w:val="false"/>
          <w:i/>
          <w:color w:val="000000"/>
          <w:sz w:val="22"/>
        </w:rPr>
        <w:t xml:space="preserve">License types. </w:t>
      </w:r>
      <w:r>
        <w:rPr>
          <w:rFonts w:ascii="Times New Roman" w:hAnsi="Times New Roman"/>
          <w:b w:val="false"/>
          <w:i w:val="false"/>
          <w:color w:val="000000"/>
          <w:sz w:val="22"/>
        </w:rPr>
        <w:t>Licensed pharmacy types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Hospital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Telepharmacy.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Limited-use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Nonresident pharmacy.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$135,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551.10(3)</w:t>
      </w:r>
      <w:r>
        <w:rPr>
          <w:rFonts w:ascii="Times New Roman" w:hAnsi="Times New Roman"/>
          <w:b w:val="false"/>
          <w:i w:val="false"/>
          <w:color w:val="000000"/>
          <w:sz w:val="22"/>
        </w:rPr>
        <w:t> </w:t>
      </w:r>
      <w:r>
        <w:rPr>
          <w:rFonts w:ascii="Times New Roman" w:hAnsi="Times New Roman"/>
          <w:b w:val="false"/>
          <w:i/>
          <w:color w:val="000000"/>
          <w:sz w:val="22"/>
        </w:rPr>
        <w:t xml:space="preserve">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Within 30 days of a change, except as provided herein, the pharmacy will provide the following updated information to the board via a board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Pharmacist in charge, except that notification of a change of pharmacist in charge of a nonresident pharmacy will be submitted within ten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pharmacy license for the following changes via submission of a completed application and fee prior to the effective date of the change, except as provided herein.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 except for a temporary relocation of limited duration due to an exceptional circumstance. An application will be submitted at least 30 days prior to the anticipated relocation.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 type. An application will be submitted at least 30 days prior to the anticipated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481—551.11</w:t>
      </w:r>
      <w:r>
        <w:rPr>
          <w:rFonts w:ascii="Times New Roman" w:hAnsi="Times New Roman"/>
          <w:b/>
          <w:i w:val="false"/>
          <w:color w:val="000000"/>
          <w:sz w:val="22"/>
        </w:rPr>
        <w:t xml:space="preserve">(124) </w:t>
      </w:r>
      <w:r>
        <w:rPr>
          <w:rFonts w:ascii="Times New Roman" w:hAnsi="Times New Roman"/>
          <w:b/>
          <w:i w:val="false"/>
          <w:color w:val="000000"/>
          <w:sz w:val="22"/>
        </w:rPr>
        <w:t xml:space="preserve">CSA—businesses.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independent activities. </w:t>
      </w:r>
      <w:r>
        <w:rPr>
          <w:rFonts w:ascii="Times New Roman" w:hAnsi="Times New Roman"/>
          <w:b w:val="false"/>
          <w:i w:val="false"/>
          <w:color w:val="000000"/>
          <w:sz w:val="22"/>
        </w:rPr>
        <w:t xml:space="preserve">A separate registration will be necessary for each separate independent activity as provided in </w:t>
      </w:r>
      <w:r>
        <w:rPr>
          <w:rFonts w:ascii="Times New Roman" w:hAnsi="Times New Roman"/>
          <w:b w:val="false"/>
          <w:i w:val="false"/>
          <w:color w:val="000000"/>
          <w:sz w:val="22"/>
        </w:rPr>
        <w:t>21 CFR §1301.13</w:t>
      </w:r>
      <w:r>
        <w:rPr>
          <w:rFonts w:ascii="Times New Roman" w:hAnsi="Times New Roman"/>
          <w:b w:val="false"/>
          <w:i w:val="false"/>
          <w:color w:val="000000"/>
          <w:sz w:val="22"/>
        </w:rPr>
        <w:t xml:space="preserve"> amended to April 11, 2022.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551.11(2)</w:t>
      </w:r>
      <w:r>
        <w:rPr>
          <w:rFonts w:ascii="Times New Roman" w:hAnsi="Times New Roman"/>
          <w:b w:val="false"/>
          <w:i w:val="false"/>
          <w:color w:val="000000"/>
          <w:sz w:val="22"/>
        </w:rPr>
        <w:t> </w:t>
      </w:r>
      <w:r>
        <w:rPr>
          <w:rFonts w:ascii="Times New Roman" w:hAnsi="Times New Roman"/>
          <w:b w:val="false"/>
          <w:i/>
          <w:color w:val="000000"/>
          <w:sz w:val="22"/>
        </w:rPr>
        <w:t xml:space="preserve">Separate registrations for separate locations.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separate registration will be necessary for each location where controlled substances are manufactured, distributed, imported, exported, dispensed, stored, or collected for the purpose of disposal unless exempt from registration pursuant to Iowa Code section </w:t>
      </w:r>
      <w:hyperlink r:id="rId32">
        <w:r>
          <w:rPr>
            <w:rStyle w:val="Hyperlink"/>
            <w:rFonts w:ascii="Times New Roman" w:hAnsi="Times New Roman"/>
            <w:b w:val="false"/>
            <w:i w:val="false"/>
            <w:color w:val="000000"/>
            <w:sz w:val="22"/>
          </w:rPr>
          <w:t>124.302(2)</w:t>
        </w:r>
      </w:hyperlink>
      <w:r>
        <w:rPr>
          <w:rFonts w:ascii="Times New Roman" w:hAnsi="Times New Roman"/>
          <w:b w:val="false"/>
          <w:i w:val="false"/>
          <w:color w:val="000000"/>
          <w:sz w:val="22"/>
        </w:rPr>
        <w:t xml:space="preserve"> or as provided in </w:t>
      </w:r>
      <w:r>
        <w:rPr>
          <w:rFonts w:ascii="Times New Roman" w:hAnsi="Times New Roman"/>
          <w:b w:val="false"/>
          <w:i w:val="false"/>
          <w:color w:val="000000"/>
          <w:sz w:val="22"/>
        </w:rPr>
        <w:t>21 CFR §1301.12</w:t>
      </w:r>
      <w:r>
        <w:rPr>
          <w:rFonts w:ascii="Times New Roman" w:hAnsi="Times New Roman"/>
          <w:b w:val="false"/>
          <w:i w:val="false"/>
          <w:color w:val="000000"/>
          <w:sz w:val="22"/>
        </w:rPr>
        <w:t xml:space="preserve"> amended to February 28, 2024.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separate registration for a pharmacy will not be required when providing an emergency kit of limited drug quantities to an entity authorized to administer such emergency drugs, such as a care facility or EMS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551.11(3)</w:t>
      </w:r>
      <w:r>
        <w:rPr>
          <w:rFonts w:ascii="Times New Roman" w:hAnsi="Times New Roman"/>
          <w:b w:val="false"/>
          <w:i w:val="false"/>
          <w:color w:val="000000"/>
          <w:sz w:val="22"/>
        </w:rPr>
        <w:t> </w:t>
      </w:r>
      <w:r>
        <w:rPr>
          <w:rFonts w:ascii="Times New Roman" w:hAnsi="Times New Roman"/>
          <w:b w:val="false"/>
          <w:i/>
          <w:color w:val="000000"/>
          <w:sz w:val="22"/>
        </w:rPr>
        <w:t xml:space="preserve">Registration fee, duration,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registration fee is $45 per annum and will expire on the second-last day of the month following initial registration, except that the expiration may be aligned with the entity’s underlying business license,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registration fee is waived for federal, state, and local law enforcement agencies and the following federal and state institutions: hospitals; health care or teaching institutions; and analytical laboratories authorized to possess, manufacture, distribute, and dispense controlled substances in the course of official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551.11(4)</w:t>
      </w:r>
      <w:r>
        <w:rPr>
          <w:rFonts w:ascii="Times New Roman" w:hAnsi="Times New Roman"/>
          <w:b w:val="false"/>
          <w:i w:val="false"/>
          <w:color w:val="000000"/>
          <w:sz w:val="22"/>
        </w:rPr>
        <w:t> </w:t>
      </w:r>
      <w:r>
        <w:rPr>
          <w:rFonts w:ascii="Times New Roman" w:hAnsi="Times New Roman"/>
          <w:b w:val="false"/>
          <w:i/>
          <w:color w:val="000000"/>
          <w:sz w:val="22"/>
        </w:rPr>
        <w:t xml:space="preserve">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notification. </w:t>
      </w:r>
      <w:r>
        <w:rPr>
          <w:rFonts w:ascii="Times New Roman" w:hAnsi="Times New Roman"/>
          <w:b w:val="false"/>
          <w:i w:val="false"/>
          <w:color w:val="000000"/>
          <w:sz w:val="22"/>
        </w:rPr>
        <w:t>Within 30 days of a change to the following, the registrant will provide the updated information to the board via a board form or via the board’s online licensing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Substances authorized.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Responsible individual, except as required in subparagraph </w:t>
      </w:r>
      <w:hyperlink r:id="rId33">
        <w:r>
          <w:rPr>
            <w:rStyle w:val="Hyperlink"/>
            <w:rFonts w:ascii="Times New Roman" w:hAnsi="Times New Roman"/>
            <w:b w:val="false"/>
            <w:i w:val="false"/>
            <w:color w:val="000000"/>
            <w:sz w:val="22"/>
          </w:rPr>
          <w:t>551.11(4)</w:t>
        </w:r>
      </w:hyperlink>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CSA—business registrant will seek modification of the registration for the following changes via submission of an application and fee within 30 days of the change, except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 Location. For an in-state registrant, an application will be submitted at least 30 days prior to the change of 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Responsible individual for outsourcing facilities, 3PL providers, and wholesale distributors.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481—551.12</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551.12(1)</w:t>
      </w:r>
      <w:r>
        <w:rPr>
          <w:rFonts w:ascii="Times New Roman" w:hAnsi="Times New Roman"/>
          <w:b w:val="false"/>
          <w:i w:val="false"/>
          <w:color w:val="000000"/>
          <w:sz w:val="22"/>
        </w:rPr>
        <w:t> </w:t>
      </w:r>
      <w:r>
        <w:rPr>
          <w:rFonts w:ascii="Times New Roman" w:hAnsi="Times New Roman"/>
          <w:b w:val="false"/>
          <w:i/>
          <w:color w:val="000000"/>
          <w:sz w:val="22"/>
        </w:rPr>
        <w:t xml:space="preserve">Permit fee and duration. </w:t>
      </w:r>
      <w:r>
        <w:rPr>
          <w:rFonts w:ascii="Times New Roman" w:hAnsi="Times New Roman"/>
          <w:b w:val="false"/>
          <w:i w:val="false"/>
          <w:color w:val="000000"/>
          <w:sz w:val="22"/>
        </w:rPr>
        <w:t>The permit fee is $180, and the permit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551.12(2)</w:t>
      </w:r>
      <w:r>
        <w:rPr>
          <w:rFonts w:ascii="Times New Roman" w:hAnsi="Times New Roman"/>
          <w:b w:val="false"/>
          <w:i w:val="false"/>
          <w:color w:val="000000"/>
          <w:sz w:val="22"/>
        </w:rPr>
        <w:t> </w:t>
      </w:r>
      <w:r>
        <w:rPr>
          <w:rFonts w:ascii="Times New Roman" w:hAnsi="Times New Roman"/>
          <w:b w:val="false"/>
          <w:i/>
          <w:color w:val="000000"/>
          <w:sz w:val="22"/>
        </w:rPr>
        <w:t xml:space="preserve">Exemptions. </w:t>
      </w:r>
      <w:r>
        <w:rPr>
          <w:rFonts w:ascii="Times New Roman" w:hAnsi="Times New Roman"/>
          <w:b w:val="false"/>
          <w:i w:val="false"/>
          <w:color w:val="000000"/>
          <w:sz w:val="22"/>
        </w:rPr>
        <w:t xml:space="preserve">A permit is not required for the distribution of exempt chemical mixtures or for transactions deemed excluded by </w:t>
      </w:r>
      <w:r>
        <w:rPr>
          <w:rFonts w:ascii="Times New Roman" w:hAnsi="Times New Roman"/>
          <w:b w:val="false"/>
          <w:i w:val="false"/>
          <w:color w:val="000000"/>
          <w:sz w:val="22"/>
        </w:rPr>
        <w:t>21 CFR Part 1310</w:t>
      </w:r>
      <w:r>
        <w:rPr>
          <w:rFonts w:ascii="Times New Roman" w:hAnsi="Times New Roman"/>
          <w:b w:val="false"/>
          <w:i w:val="false"/>
          <w:color w:val="000000"/>
          <w:sz w:val="22"/>
        </w:rPr>
        <w:t xml:space="preserve"> as amended on October 31, 2023.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481—551.13</w:t>
      </w:r>
      <w:r>
        <w:rPr>
          <w:rFonts w:ascii="Times New Roman" w:hAnsi="Times New Roman"/>
          <w:b/>
          <w:i w:val="false"/>
          <w:color w:val="000000"/>
          <w:sz w:val="22"/>
        </w:rPr>
        <w:t xml:space="preserve">(155A) </w:t>
      </w:r>
      <w:r>
        <w:rPr>
          <w:rFonts w:ascii="Times New Roman" w:hAnsi="Times New Roman"/>
          <w:b/>
          <w:i w:val="false"/>
          <w:color w:val="000000"/>
          <w:sz w:val="22"/>
        </w:rPr>
        <w:t xml:space="preserve">Wholesale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551.13(1)</w:t>
      </w:r>
      <w:r>
        <w:rPr>
          <w:rFonts w:ascii="Times New Roman" w:hAnsi="Times New Roman"/>
          <w:b w:val="false"/>
          <w:i w:val="false"/>
          <w:color w:val="000000"/>
          <w:sz w:val="22"/>
        </w:rPr>
        <w:t> </w:t>
      </w:r>
      <w:r>
        <w:rPr>
          <w:rFonts w:ascii="Times New Roman" w:hAnsi="Times New Roman"/>
          <w:b w:val="false"/>
          <w:i/>
          <w:color w:val="000000"/>
          <w:sz w:val="22"/>
        </w:rPr>
        <w:t xml:space="preserve">License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be eligible for licensure as a wholesale distributor, each application will include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Surety bond or equivalent security pursuant to the DSCSA.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drug distributor accreditation by NABP, NCDQS, or another accreditation body approved by the board. New applicants located in Iowa that undergo an opening inspection will not be obligated to provide evidence of accreditation for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requirements in paragraph </w:t>
      </w:r>
      <w:hyperlink r:id="rId34">
        <w:r>
          <w:rPr>
            <w:rStyle w:val="Hyperlink"/>
            <w:rFonts w:ascii="Times New Roman" w:hAnsi="Times New Roman"/>
            <w:b w:val="false"/>
            <w:i w:val="false"/>
            <w:color w:val="000000"/>
            <w:sz w:val="22"/>
          </w:rPr>
          <w:t>551.13(1)</w:t>
        </w:r>
      </w:hyperlink>
      <w:r>
        <w:rPr>
          <w:rFonts w:ascii="Times New Roman" w:hAnsi="Times New Roman"/>
          <w:b w:val="false"/>
          <w:i/>
          <w:color w:val="000000"/>
          <w:sz w:val="22"/>
        </w:rPr>
        <w:t>“a”</w:t>
      </w:r>
      <w:r>
        <w:rPr>
          <w:rFonts w:ascii="Times New Roman" w:hAnsi="Times New Roman"/>
          <w:b w:val="false"/>
          <w:i w:val="false"/>
          <w:color w:val="000000"/>
          <w:sz w:val="22"/>
        </w:rPr>
        <w:t xml:space="preserve"> directly conflict with any federal law or regulation, the federal law or regulation will supersede the requirements in paragraph </w:t>
      </w:r>
      <w:hyperlink r:id="rId35">
        <w:r>
          <w:rPr>
            <w:rStyle w:val="Hyperlink"/>
            <w:rFonts w:ascii="Times New Roman" w:hAnsi="Times New Roman"/>
            <w:b w:val="false"/>
            <w:i w:val="false"/>
            <w:color w:val="000000"/>
            <w:sz w:val="22"/>
          </w:rPr>
          <w:t>551.13(1)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$750,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551.13(3)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 xml:space="preserve">A licensee will provide written notice to the board within 30 days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designation of a temporary facility manager who will not be subject to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of business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license for the following changes via submission of an application and fee.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Location.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facility manager. A licensee will submit an application within 30 days of the identification of a new permanent facility manager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481—551.14</w:t>
      </w:r>
      <w:r>
        <w:rPr>
          <w:rFonts w:ascii="Times New Roman" w:hAnsi="Times New Roman"/>
          <w:b/>
          <w:i w:val="false"/>
          <w:color w:val="000000"/>
          <w:sz w:val="22"/>
        </w:rPr>
        <w:t xml:space="preserve">(155A) </w:t>
      </w:r>
      <w:r>
        <w:rPr>
          <w:rFonts w:ascii="Times New Roman" w:hAnsi="Times New Roman"/>
          <w:b/>
          <w:i w:val="false"/>
          <w:color w:val="000000"/>
          <w:sz w:val="22"/>
        </w:rPr>
        <w:t xml:space="preserve">Outsourcing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551.14(1)</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$400,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551.14(2)</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licensee will provide written notice to the board via a board form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designation of a temporary supervising pharmacist who will not be subject to a criminal history background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licensee will seek modification of the license for the following changes via submission of an application and fee. Except as provided herein, a resident licensee will submit the application at least 30 days prior to the anticipated change and a nonresident licensee will submit the application within 30 days of the change to the FDA registration or home state license, if applicable, reflecting the change.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supervising pharmacist. A licensee will submit an application identifying the new permanent supervising pharmacist within 30 days of the identification of the permanent supervising pharmacist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481—551.15</w:t>
      </w:r>
      <w:r>
        <w:rPr>
          <w:rFonts w:ascii="Times New Roman" w:hAnsi="Times New Roman"/>
          <w:b/>
          <w:i w:val="false"/>
          <w:color w:val="000000"/>
          <w:sz w:val="22"/>
        </w:rPr>
        <w:t xml:space="preserve">(155A) </w:t>
      </w:r>
      <w:r>
        <w:rPr>
          <w:rFonts w:ascii="Times New Roman" w:hAnsi="Times New Roman"/>
          <w:b/>
          <w:i w:val="false"/>
          <w:color w:val="000000"/>
          <w:sz w:val="22"/>
        </w:rPr>
        <w:t xml:space="preserve">Limited distributors.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551.15(1)</w:t>
      </w:r>
      <w:r>
        <w:rPr>
          <w:rFonts w:ascii="Times New Roman" w:hAnsi="Times New Roman"/>
          <w:b w:val="false"/>
          <w:i w:val="false"/>
          <w:color w:val="000000"/>
          <w:sz w:val="22"/>
        </w:rPr>
        <w:t> </w:t>
      </w:r>
      <w:r>
        <w:rPr>
          <w:rFonts w:ascii="Times New Roman" w:hAnsi="Times New Roman"/>
          <w:b w:val="false"/>
          <w:i/>
          <w:color w:val="000000"/>
          <w:sz w:val="22"/>
        </w:rPr>
        <w:t xml:space="preserve">Self-inspection. </w:t>
      </w:r>
      <w:r>
        <w:rPr>
          <w:rFonts w:ascii="Times New Roman" w:hAnsi="Times New Roman"/>
          <w:b w:val="false"/>
          <w:i w:val="false"/>
          <w:color w:val="000000"/>
          <w:sz w:val="22"/>
        </w:rPr>
        <w:t>Each application for a limited distributor license will include a completed self-inspection.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$175, and the license will expire annually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551.15(3)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 xml:space="preserve">The licensee will provide written notice within 30 days of a change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Facility manager.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Modification of the license for the following changes will be pursuant to the submission of an application and fee at least 30 days prior to the change, except as provided herein, for a resident licensee and within 30 days of the change to the home state license for a nonresident licensee,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481—551.16</w:t>
      </w:r>
      <w:r>
        <w:rPr>
          <w:rFonts w:ascii="Times New Roman" w:hAnsi="Times New Roman"/>
          <w:b/>
          <w:i w:val="false"/>
          <w:color w:val="000000"/>
          <w:sz w:val="22"/>
        </w:rPr>
        <w:t xml:space="preserve">(155A) </w:t>
      </w:r>
      <w:r>
        <w:rPr>
          <w:rFonts w:ascii="Times New Roman" w:hAnsi="Times New Roman"/>
          <w:b/>
          <w:i w:val="false"/>
          <w:color w:val="000000"/>
          <w:sz w:val="22"/>
        </w:rPr>
        <w:t xml:space="preserve">Third-party logistics providers.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551.16(1)</w:t>
      </w:r>
      <w:r>
        <w:rPr>
          <w:rFonts w:ascii="Times New Roman" w:hAnsi="Times New Roman"/>
          <w:b w:val="false"/>
          <w:i w:val="false"/>
          <w:color w:val="000000"/>
          <w:sz w:val="22"/>
        </w:rPr>
        <w:t> </w:t>
      </w:r>
      <w:r>
        <w:rPr>
          <w:rFonts w:ascii="Times New Roman" w:hAnsi="Times New Roman"/>
          <w:b w:val="false"/>
          <w:i/>
          <w:color w:val="000000"/>
          <w:sz w:val="22"/>
        </w:rPr>
        <w:t xml:space="preserve">License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licensure, each application will include evidence of current drug distributor accreditation by NABP, NCDQS, or another accreditation body approved by the board. New applicants located in Iowa that undergo an opening inspection will not be obligated to provide evidence of accreditation for initial licensure.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 requirements in this subrule directly conflict with any federal law or regulation, the federal law or regulation will supersede the requirements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551.16(2)</w:t>
      </w:r>
      <w:r>
        <w:rPr>
          <w:rFonts w:ascii="Times New Roman" w:hAnsi="Times New Roman"/>
          <w:b w:val="false"/>
          <w:i w:val="false"/>
          <w:color w:val="000000"/>
          <w:sz w:val="22"/>
        </w:rPr>
        <w:t> </w:t>
      </w:r>
      <w:r>
        <w:rPr>
          <w:rFonts w:ascii="Times New Roman" w:hAnsi="Times New Roman"/>
          <w:b w:val="false"/>
          <w:i/>
          <w:color w:val="000000"/>
          <w:sz w:val="22"/>
        </w:rPr>
        <w:t xml:space="preserve">License fee and duration. </w:t>
      </w:r>
      <w:r>
        <w:rPr>
          <w:rFonts w:ascii="Times New Roman" w:hAnsi="Times New Roman"/>
          <w:b w:val="false"/>
          <w:i w:val="false"/>
          <w:color w:val="000000"/>
          <w:sz w:val="22"/>
        </w:rPr>
        <w:t>The license fee is $750, and the license will expire annually on March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551.16(3)</w:t>
      </w:r>
      <w:r>
        <w:rPr>
          <w:rFonts w:ascii="Times New Roman" w:hAnsi="Times New Roman"/>
          <w:b w:val="false"/>
          <w:i w:val="false"/>
          <w:color w:val="000000"/>
          <w:sz w:val="22"/>
        </w:rPr>
        <w:t> </w:t>
      </w:r>
      <w:r>
        <w:rPr>
          <w:rFonts w:ascii="Times New Roman" w:hAnsi="Times New Roman"/>
          <w:b w:val="false"/>
          <w:i/>
          <w:color w:val="000000"/>
          <w:sz w:val="22"/>
        </w:rPr>
        <w:t xml:space="preserve">License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notice. </w:t>
      </w:r>
      <w:r>
        <w:rPr>
          <w:rFonts w:ascii="Times New Roman" w:hAnsi="Times New Roman"/>
          <w:b w:val="false"/>
          <w:i w:val="false"/>
          <w:color w:val="000000"/>
          <w:sz w:val="22"/>
        </w:rPr>
        <w:t>A licensee will provide written notice to the board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designation of a temporary facility manager who will not be subject to a criminal history background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of ownership.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licensee will seek modification of the license for the following changes via submission of an application and fee. A resident licensee will submit the application at least 30 days prior to the anticipated change, and, except as provided, a nonresident licensee will submit the application within 30 days of the licensee’s receipt of an updated license from the home state regulatory authority, if applicable, reflecting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Permanent facility manager. A licensee will submit an application within 30 days of the identification of a new permanent facility manager and within 90 days of the initial vacancy.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6">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147.76 </w:t>
        </w:r>
      </w:hyperlink>
      <w:r>
        <w:rPr>
          <w:rFonts w:ascii="Times New Roman" w:hAnsi="Times New Roman"/>
          <w:b w:val="false"/>
          <w:i w:val="false"/>
          <w:color w:val="000000"/>
          <w:sz w:val="22"/>
        </w:rPr>
        <w:t xml:space="preserve">and </w:t>
      </w:r>
      <w:hyperlink r:id="rId38">
        <w:r>
          <w:rPr>
            <w:rStyle w:val="Hyperlink"/>
            <w:rFonts w:ascii="Times New Roman" w:hAnsi="Times New Roman"/>
            <w:b w:val="false"/>
            <w:i w:val="false"/>
            <w:color w:val="000000"/>
            <w:sz w:val="22"/>
          </w:rPr>
          <w:t>147.80 </w:t>
        </w:r>
      </w:hyperlink>
      <w:r>
        <w:rPr>
          <w:rFonts w:ascii="Times New Roman" w:hAnsi="Times New Roman"/>
          <w:b w:val="false"/>
          <w:i w:val="false"/>
          <w:color w:val="000000"/>
          <w:sz w:val="22"/>
        </w:rPr>
        <w:t xml:space="preserve">and chapters </w:t>
      </w:r>
      <w:hyperlink r:id="rId39">
        <w:r>
          <w:rPr>
            <w:rStyle w:val="Hyperlink"/>
            <w:rFonts w:ascii="Times New Roman" w:hAnsi="Times New Roman"/>
            <w:b w:val="false"/>
            <w:i w:val="false"/>
            <w:color w:val="000000"/>
            <w:sz w:val="22"/>
          </w:rPr>
          <w:t>155A </w:t>
        </w:r>
      </w:hyperlink>
      <w:r>
        <w:rPr>
          <w:rFonts w:ascii="Times New Roman" w:hAnsi="Times New Roman"/>
          <w:b w:val="false"/>
          <w:i w:val="false"/>
          <w:color w:val="000000"/>
          <w:sz w:val="22"/>
        </w:rPr>
        <w:t xml:space="preserve">and </w:t>
      </w:r>
      <w:hyperlink r:id="rId40">
        <w:r>
          <w:rPr>
            <w:rStyle w:val="Hyperlink"/>
            <w:rFonts w:ascii="Times New Roman" w:hAnsi="Times New Roman"/>
            <w:b w:val="false"/>
            <w:i w:val="false"/>
            <w:color w:val="000000"/>
            <w:sz w:val="22"/>
          </w:rPr>
          <w:t>272C.</w:t>
        </w:r>
      </w:hyperlink>
    </w:p>
    <w:p>
      <w:pPr>
        <w:spacing w:before="0" w:after="0"/>
        <w:ind w:left="120"/>
        <w:jc w:val="center"/>
      </w:pPr>
      <w:r>
        <w:rPr>
          <w:rFonts w:ascii="Times New Roman" w:hAnsi="Times New Roman"/>
          <w:b w:val="false"/>
          <w:i w:val="false"/>
          <w:color w:val="000000"/>
          <w:sz w:val="21"/>
        </w:rPr>
        <w:t>[Filed ARC 9337C</w:t>
      </w:r>
      <w:r>
        <w:rPr>
          <w:rFonts w:ascii="Times New Roman" w:hAnsi="Times New Roman"/>
          <w:b w:val="false"/>
          <w:i w:val="false"/>
          <w:color w:val="000000"/>
          <w:sz w:val="21"/>
        </w:rPr>
        <w:t xml:space="preserve"> (Notice ARC 8420C,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2/18/26]</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551 </w:t>
      </w:r>
      <w:r>
        <w:rPr>
          <w:rFonts w:ascii="Times New Roman" w:hAnsi="Times New Roman"/>
          <w:b/>
          <w:i w:val="false"/>
          <w:color w:val="000000"/>
          <w:sz w:val="22"/>
        </w:rPr>
        <w:t>[ARC 9337C]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4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co/chapter/8.2.pdf" Type="http://schemas.openxmlformats.org/officeDocument/2006/relationships/hyperlink" Id="rId6"/>
    <Relationship TargetMode="External" Target="https://www.legis.iowa.gov/docs/ico/chapter/155A.40.pdf" Type="http://schemas.openxmlformats.org/officeDocument/2006/relationships/hyperlink" Id="rId7"/>
    <Relationship TargetMode="External" Target="https://www.legis.iowa.gov/docs/iac/rule/481.551.14.pdf" Type="http://schemas.openxmlformats.org/officeDocument/2006/relationships/hyperlink" Id="rId8"/>
    <Relationship TargetMode="External" Target="https://www.legis.iowa.gov/docs/iac/rule/481.551.13.pdf" Type="http://schemas.openxmlformats.org/officeDocument/2006/relationships/hyperlink" Id="rId9"/>
    <Relationship TargetMode="External" Target="https://www.legis.iowa.gov/docs/iac/rule/481.551.16.pdf" Type="http://schemas.openxmlformats.org/officeDocument/2006/relationships/hyperlink" Id="rId10"/>
    <Relationship TargetMode="External" Target="https://www.legis.iowa.gov/docs/iac/rule/481.551.15.pdf" Type="http://schemas.openxmlformats.org/officeDocument/2006/relationships/hyperlink" Id="rId11"/>
    <Relationship TargetMode="External" Target="https://www.legis.iowa.gov/docs/ico/chapter/147.10.pdf" Type="http://schemas.openxmlformats.org/officeDocument/2006/relationships/hyperlink" Id="rId12"/>
    <Relationship TargetMode="External" Target="https://www.legis.iowa.gov/docs/iac/chapter/481.506.pdf" Type="http://schemas.openxmlformats.org/officeDocument/2006/relationships/hyperlink" Id="rId13"/>
    <Relationship TargetMode="External" Target="https://www.legis.iowa.gov/docs/iac/chapter/481.504.pdf" Type="http://schemas.openxmlformats.org/officeDocument/2006/relationships/hyperlink" Id="rId14"/>
    <Relationship TargetMode="External" Target="https://www.legis.iowa.gov/docs/ico/chapter/124.pdf" Type="http://schemas.openxmlformats.org/officeDocument/2006/relationships/hyperlink" Id="rId15"/>
    <Relationship TargetMode="External" Target="https://www.legis.iowa.gov/docs/ico/chapter/126.pdf" Type="http://schemas.openxmlformats.org/officeDocument/2006/relationships/hyperlink" Id="rId16"/>
    <Relationship TargetMode="External" Target="https://www.legis.iowa.gov/docs/ico/chapter/155A.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ac/chapter/481.7.pdf" Type="http://schemas.openxmlformats.org/officeDocument/2006/relationships/hyperlink" Id="rId19"/>
    <Relationship TargetMode="External" Target="https://www.legis.iowa.gov/docs/iac/chapter/481.506.pdf" Type="http://schemas.openxmlformats.org/officeDocument/2006/relationships/hyperlink" Id="rId20"/>
    <Relationship TargetMode="External" Target="https://www.legis.iowa.gov/docs/iac/chapter/481.504.pdf" Type="http://schemas.openxmlformats.org/officeDocument/2006/relationships/hyperlink" Id="rId21"/>
    <Relationship TargetMode="External" Target="https://www.legis.iowa.gov/docs/iac/chapter/481.8.pdf" Type="http://schemas.openxmlformats.org/officeDocument/2006/relationships/hyperlink" Id="rId22"/>
    <Relationship TargetMode="External" Target="https://www.legis.iowa.gov/docs/iac/chapter/481.502.pdf" Type="http://schemas.openxmlformats.org/officeDocument/2006/relationships/hyperlink" Id="rId23"/>
    <Relationship TargetMode="External" Target="https://www.legis.iowa.gov/docs/ico/chapter/155A.8.pdf" Type="http://schemas.openxmlformats.org/officeDocument/2006/relationships/hyperlink" Id="rId24"/>
    <Relationship TargetMode="External" Target="https://www.legis.iowa.gov/docs/ico/chapter/155A.9.pdf" Type="http://schemas.openxmlformats.org/officeDocument/2006/relationships/hyperlink" Id="rId25"/>
    <Relationship TargetMode="External" Target="https://www.legis.iowa.gov/docs/iac/rule/481.551.6.pdf" Type="http://schemas.openxmlformats.org/officeDocument/2006/relationships/hyperlink" Id="rId26"/>
    <Relationship TargetMode="External" Target="https://www.legis.iowa.gov/docs/ico/chapter/272C.2.pdf" Type="http://schemas.openxmlformats.org/officeDocument/2006/relationships/hyperlink" Id="rId27"/>
    <Relationship TargetMode="External" Target="https://www.legis.iowa.gov/docs/ico/chapter/232.69.pdf" Type="http://schemas.openxmlformats.org/officeDocument/2006/relationships/hyperlink" Id="rId28"/>
    <Relationship TargetMode="External" Target="https://www.legis.iowa.gov/docs/ico/chapter/252B.16.pdf" Type="http://schemas.openxmlformats.org/officeDocument/2006/relationships/hyperlink" Id="rId29"/>
    <Relationship TargetMode="External" Target="https://www.legis.iowa.gov/docs/iac/rule/481.551.4.pdf" Type="http://schemas.openxmlformats.org/officeDocument/2006/relationships/hyperlink" Id="rId30"/>
    <Relationship TargetMode="External" Target="https://www.legis.iowa.gov/docs/iac/rule/481.551.2.pdf" Type="http://schemas.openxmlformats.org/officeDocument/2006/relationships/hyperlink" Id="rId31"/>
    <Relationship TargetMode="External" Target="https://www.legis.iowa.gov/docs/ico/chapter/124.302.pdf" Type="http://schemas.openxmlformats.org/officeDocument/2006/relationships/hyperlink" Id="rId32"/>
    <Relationship TargetMode="External" Target="https://www.legis.iowa.gov/docs/iac/rule/481.551.11.pdf" Type="http://schemas.openxmlformats.org/officeDocument/2006/relationships/hyperlink" Id="rId33"/>
    <Relationship TargetMode="External" Target="https://www.legis.iowa.gov/docs/iac/rule/481.551.13.pdf" Type="http://schemas.openxmlformats.org/officeDocument/2006/relationships/hyperlink" Id="rId34"/>
    <Relationship TargetMode="External" Target="https://www.legis.iowa.gov/docs/iac/rule/481.551.13.pdf" Type="http://schemas.openxmlformats.org/officeDocument/2006/relationships/hyperlink" Id="rId35"/>
    <Relationship TargetMode="External" Target="https://www.legis.iowa.gov/docs/ico/chapter/124.302.pdf" Type="http://schemas.openxmlformats.org/officeDocument/2006/relationships/hyperlink" Id="rId36"/>
    <Relationship TargetMode="External" Target="https://www.legis.iowa.gov/docs/ico/chapter/147.76.pdf" Type="http://schemas.openxmlformats.org/officeDocument/2006/relationships/hyperlink" Id="rId37"/>
    <Relationship TargetMode="External" Target="https://www.legis.iowa.gov/docs/ico/chapter/147.80.pdf" Type="http://schemas.openxmlformats.org/officeDocument/2006/relationships/hyperlink" Id="rId38"/>
    <Relationship TargetMode="External" Target="https://www.legis.iowa.gov/docs/ico/chapter/155A.pdf" Type="http://schemas.openxmlformats.org/officeDocument/2006/relationships/hyperlink" Id="rId39"/>
    <Relationship TargetMode="External" Target="https://www.legis.iowa.gov/docs/ico/chapter/272C.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