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w:t>
      </w:r>
    </w:p>
    <w:p>
      <w:pPr>
        <w:spacing w:before="0" w:after="0"/>
        <w:ind w:left="120"/>
        <w:jc w:val="center"/>
      </w:pPr>
      <w:r>
        <w:rPr>
          <w:rFonts w:ascii="Times New Roman" w:hAnsi="Times New Roman"/>
          <w:b w:val="false"/>
          <w:i w:val="false"/>
          <w:color w:val="000000"/>
          <w:sz w:val="21"/>
        </w:rPr>
        <w:t xml:space="preserve">GOVERNOR’S AWARD FOR QUALITY CARE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481—54.1</w:t>
      </w:r>
      <w:r>
        <w:rPr>
          <w:rFonts w:ascii="Times New Roman" w:hAnsi="Times New Roman"/>
          <w:b/>
          <w:i w:val="false"/>
          <w:color w:val="000000"/>
          <w:sz w:val="22"/>
        </w:rPr>
        <w:t xml:space="preserve">(135C)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A governor’s award for quality care is established to recognize health care facilities in Iowa that demonstrate provision of the highest quality care to residents. Health care facilities eligible for nomination and selection must be licensed pursuant to Iowa Code chapter </w:t>
      </w:r>
      <w:hyperlink r:id="rId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481—54.2</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living training services” </w:t>
      </w:r>
      <w:r>
        <w:rPr>
          <w:rFonts w:ascii="Times New Roman" w:hAnsi="Times New Roman"/>
          <w:b w:val="false"/>
          <w:i w:val="false"/>
          <w:color w:val="000000"/>
          <w:sz w:val="22"/>
        </w:rPr>
        <w:t>means those activities provided to assist a person to acquire or sustain the knowledge and skills essential to independent functioning to the person’s maximum potential in the physical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and appeals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residential care facilities, nursing facilities, intermediate care facilities for persons with mental illness, and intermediate care facilities for persons with an intellectual disability licensed pursuant to Iowa Code chapter </w:t>
      </w:r>
      <w:hyperlink r:id="rId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care” </w:t>
      </w:r>
      <w:r>
        <w:rPr>
          <w:rFonts w:ascii="Times New Roman" w:hAnsi="Times New Roman"/>
          <w:b w:val="false"/>
          <w:i w:val="false"/>
          <w:color w:val="000000"/>
          <w:sz w:val="22"/>
        </w:rPr>
        <w:t>means those services that can be provided only under the direction of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care” </w:t>
      </w:r>
      <w:r>
        <w:rPr>
          <w:rFonts w:ascii="Times New Roman" w:hAnsi="Times New Roman"/>
          <w:b w:val="false"/>
          <w:i w:val="false"/>
          <w:color w:val="000000"/>
          <w:sz w:val="22"/>
        </w:rPr>
        <w:t xml:space="preserve">means assistance with those activities of daily living that the recipient can perform only with difficulty. Examples are help in getting in and out of bed, assistance with personal hygiene and bathing, help with dressing and feeding, and supervision of medications that can be self-administered.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“Rehabilitative services” </w:t>
      </w:r>
      <w:r>
        <w:rPr>
          <w:rFonts w:ascii="Times New Roman" w:hAnsi="Times New Roman"/>
          <w:b w:val="false"/>
          <w:i w:val="false"/>
          <w:color w:val="000000"/>
          <w:sz w:val="22"/>
        </w:rPr>
        <w:t>means services to encourage and assist restoration of optimum mental and physical capabilities of the individual resident of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 services” </w:t>
      </w:r>
      <w:r>
        <w:rPr>
          <w:rFonts w:ascii="Times New Roman" w:hAnsi="Times New Roman"/>
          <w:b w:val="false"/>
          <w:i w:val="false"/>
          <w:color w:val="000000"/>
          <w:sz w:val="22"/>
        </w:rPr>
        <w:t>means services relating to the psychological and social needs of the individual in adjusting to living in a health care facility and minimizing stress arising from that circumstance.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481—54.3</w:t>
      </w:r>
      <w:r>
        <w:rPr>
          <w:rFonts w:ascii="Times New Roman" w:hAnsi="Times New Roman"/>
          <w:b/>
          <w:i w:val="false"/>
          <w:color w:val="000000"/>
          <w:sz w:val="22"/>
        </w:rPr>
        <w:t xml:space="preserve">(135C) </w:t>
      </w:r>
      <w:r>
        <w:rPr>
          <w:rFonts w:ascii="Times New Roman" w:hAnsi="Times New Roman"/>
          <w:b/>
          <w:i w:val="false"/>
          <w:color w:val="000000"/>
          <w:sz w:val="22"/>
        </w:rPr>
        <w:t xml:space="preserve">Nomination. </w:t>
      </w:r>
      <w:r>
        <w:rPr>
          <w:rFonts w:ascii="Times New Roman" w:hAnsi="Times New Roman"/>
          <w:b w:val="false"/>
          <w:i w:val="false"/>
          <w:color w:val="000000"/>
          <w:sz w:val="22"/>
        </w:rPr>
        <w:t>The department shall make available a nomination application no later than January 1 of each year. The department shall accept nominations until March 1 of each year.</w:t>
      </w:r>
    </w:p>
    <w:p>
      <w:pPr>
        <w:spacing w:before="0" w:after="0"/>
        <w:ind w:left="120"/>
        <w:jc w:val="both"/>
      </w:pPr>
      <w:r>
        <w:rPr>
          <w:rFonts w:ascii="Times New Roman" w:hAnsi="Times New Roman"/>
          <w:b/>
          <w:i w:val="false"/>
          <w:color w:val="000000"/>
          <w:sz w:val="22"/>
        </w:rPr>
        <w:t>481—54.4</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Applicant eligibility. </w:t>
      </w:r>
      <w:r>
        <w:rPr>
          <w:rFonts w:ascii="Times New Roman" w:hAnsi="Times New Roman"/>
          <w:b w:val="false"/>
          <w:i w:val="false"/>
          <w:color w:val="000000"/>
          <w:sz w:val="22"/>
        </w:rPr>
        <w:t>Eligible nominations shall be made by a resident, family member of a resident or another health care facility. A health care facility cannot nominate itself for the award; however, this prohibition shall not apply to facilities with common ownership.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481—54.5</w:t>
      </w:r>
      <w:r>
        <w:rPr>
          <w:rFonts w:ascii="Times New Roman" w:hAnsi="Times New Roman"/>
          <w:b/>
          <w:i w:val="false"/>
          <w:color w:val="000000"/>
          <w:sz w:val="22"/>
        </w:rPr>
        <w:t xml:space="preserve">(135C) </w:t>
      </w:r>
      <w:r>
        <w:rPr>
          <w:rFonts w:ascii="Times New Roman" w:hAnsi="Times New Roman"/>
          <w:b/>
          <w:i w:val="false"/>
          <w:color w:val="000000"/>
          <w:sz w:val="22"/>
        </w:rPr>
        <w:t xml:space="preserve">Nomination information. </w:t>
      </w:r>
      <w:r>
        <w:rPr>
          <w:rFonts w:ascii="Times New Roman" w:hAnsi="Times New Roman"/>
          <w:b w:val="false"/>
          <w:i w:val="false"/>
          <w:color w:val="000000"/>
          <w:sz w:val="22"/>
        </w:rPr>
        <w:t>Applications for the governor’s quality care award shall contain but not be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54.5(1)</w:t>
      </w:r>
      <w:r>
        <w:rPr>
          <w:rFonts w:ascii="Times New Roman" w:hAnsi="Times New Roman"/>
          <w:b w:val="false"/>
          <w:i w:val="false"/>
          <w:color w:val="000000"/>
          <w:sz w:val="22"/>
        </w:rPr>
        <w:t> </w:t>
      </w:r>
      <w:r>
        <w:rPr>
          <w:rFonts w:ascii="Times New Roman" w:hAnsi="Times New Roman"/>
          <w:b w:val="false"/>
          <w:i w:val="false"/>
          <w:color w:val="000000"/>
          <w:sz w:val="22"/>
        </w:rPr>
        <w:t>The reasons that the nominated facility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54.5(2)</w:t>
      </w:r>
      <w:r>
        <w:rPr>
          <w:rFonts w:ascii="Times New Roman" w:hAnsi="Times New Roman"/>
          <w:b w:val="false"/>
          <w:i w:val="false"/>
          <w:color w:val="000000"/>
          <w:sz w:val="22"/>
        </w:rPr>
        <w:t> </w:t>
      </w:r>
      <w:r>
        <w:rPr>
          <w:rFonts w:ascii="Times New Roman" w:hAnsi="Times New Roman"/>
          <w:b w:val="false"/>
          <w:i w:val="false"/>
          <w:color w:val="000000"/>
          <w:sz w:val="22"/>
        </w:rPr>
        <w:t>Any unique or special care or services provided by the facility to its residents. Care or services include any unique or special nursing care, personal care, rehabilitative services, social services, or community living training services provided by the facility for its residents or involvement with the local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54.5(3)</w:t>
      </w:r>
      <w:r>
        <w:rPr>
          <w:rFonts w:ascii="Times New Roman" w:hAnsi="Times New Roman"/>
          <w:b w:val="false"/>
          <w:i w:val="false"/>
          <w:color w:val="000000"/>
          <w:sz w:val="22"/>
        </w:rPr>
        <w:t> </w:t>
      </w:r>
      <w:r>
        <w:rPr>
          <w:rFonts w:ascii="Times New Roman" w:hAnsi="Times New Roman"/>
          <w:b w:val="false"/>
          <w:i w:val="false"/>
          <w:color w:val="000000"/>
          <w:sz w:val="22"/>
        </w:rPr>
        <w:t>Activities conducted by the facility to enhance the quality of life for its residents.</w:t>
      </w:r>
    </w:p>
    <w:p>
      <w:pPr>
        <w:spacing w:before="0" w:after="0"/>
        <w:ind w:left="120"/>
        <w:jc w:val="both"/>
      </w:pPr>
      <w:r>
        <w:rPr>
          <w:rFonts w:ascii="Times New Roman" w:hAnsi="Times New Roman"/>
          <w:b/>
          <w:i w:val="false"/>
          <w:color w:val="000000"/>
          <w:sz w:val="22"/>
        </w:rPr>
        <w:t>481—54.6</w:t>
      </w:r>
      <w:r>
        <w:rPr>
          <w:rFonts w:ascii="Times New Roman" w:hAnsi="Times New Roman"/>
          <w:b/>
          <w:i w:val="false"/>
          <w:color w:val="000000"/>
          <w:sz w:val="22"/>
        </w:rPr>
        <w:t xml:space="preserve">(135C) </w:t>
      </w:r>
      <w:r>
        <w:rPr>
          <w:rFonts w:ascii="Times New Roman" w:hAnsi="Times New Roman"/>
          <w:b/>
          <w:i w:val="false"/>
          <w:color w:val="000000"/>
          <w:sz w:val="22"/>
        </w:rPr>
        <w:t xml:space="preserve">Evaluation. </w:t>
      </w:r>
      <w:r>
        <w:rPr>
          <w:rFonts w:ascii="Times New Roman" w:hAnsi="Times New Roman"/>
          <w:b w:val="false"/>
          <w:i w:val="false"/>
          <w:color w:val="000000"/>
          <w:sz w:val="22"/>
        </w:rPr>
        <w:t>The department shall review all nominations and select finalists based upon the material(s) provided in the nomination forms. The department shall also consider the following factors in making its selections: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report card completed pursuant to Iowa Code section </w:t>
      </w:r>
      <w:hyperlink r:id="rId7">
        <w:r>
          <w:rPr>
            <w:rStyle w:val="Hyperlink"/>
            <w:rFonts w:ascii="Times New Roman" w:hAnsi="Times New Roman"/>
            <w:b w:val="false"/>
            <w:i w:val="false"/>
            <w:color w:val="000000"/>
            <w:sz w:val="22"/>
          </w:rPr>
          <w:t>135C.20A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54.6(2)</w:t>
      </w:r>
      <w:r>
        <w:rPr>
          <w:rFonts w:ascii="Times New Roman" w:hAnsi="Times New Roman"/>
          <w:b w:val="false"/>
          <w:i w:val="false"/>
          <w:color w:val="000000"/>
          <w:sz w:val="22"/>
        </w:rPr>
        <w:t> </w:t>
      </w:r>
      <w:r>
        <w:rPr>
          <w:rFonts w:ascii="Times New Roman" w:hAnsi="Times New Roman"/>
          <w:b w:val="false"/>
          <w:i w:val="false"/>
          <w:color w:val="000000"/>
          <w:sz w:val="22"/>
        </w:rPr>
        <w:t>Any unique services provided by a facility to its residents to improve the quality of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54.6(3)</w:t>
      </w:r>
      <w:r>
        <w:rPr>
          <w:rFonts w:ascii="Times New Roman" w:hAnsi="Times New Roman"/>
          <w:b w:val="false"/>
          <w:i w:val="false"/>
          <w:color w:val="000000"/>
          <w:sz w:val="22"/>
        </w:rPr>
        <w:t> </w:t>
      </w:r>
      <w:r>
        <w:rPr>
          <w:rFonts w:ascii="Times New Roman" w:hAnsi="Times New Roman"/>
          <w:b w:val="false"/>
          <w:i w:val="false"/>
          <w:color w:val="000000"/>
          <w:sz w:val="22"/>
        </w:rPr>
        <w:t>Any information submitted by resident advocacy committee members, residents, a resident’s family members, or facility staff with regard to the quality of care provided by the facility to its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54.6(4)</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facility accepts residents for whom costs are paid under Iowa Code chapter </w:t>
      </w:r>
      <w:hyperlink r:id="rId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54.6(5)</w:t>
      </w:r>
      <w:r>
        <w:rPr>
          <w:rFonts w:ascii="Times New Roman" w:hAnsi="Times New Roman"/>
          <w:b w:val="false"/>
          <w:i w:val="false"/>
          <w:color w:val="000000"/>
          <w:sz w:val="22"/>
        </w:rPr>
        <w:t> </w:t>
      </w:r>
      <w:r>
        <w:rPr>
          <w:rFonts w:ascii="Times New Roman" w:hAnsi="Times New Roman"/>
          <w:b w:val="false"/>
          <w:i w:val="false"/>
          <w:color w:val="000000"/>
          <w:sz w:val="22"/>
        </w:rPr>
        <w:t>Whether there are any outstanding complaints against the facility, as well as the resolution of any complaint already investigated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54.6(6)</w:t>
      </w:r>
      <w:r>
        <w:rPr>
          <w:rFonts w:ascii="Times New Roman" w:hAnsi="Times New Roman"/>
          <w:b w:val="false"/>
          <w:i w:val="false"/>
          <w:color w:val="000000"/>
          <w:sz w:val="22"/>
        </w:rPr>
        <w:t> </w:t>
      </w:r>
      <w:r>
        <w:rPr>
          <w:rFonts w:ascii="Times New Roman" w:hAnsi="Times New Roman"/>
          <w:b w:val="false"/>
          <w:i w:val="false"/>
          <w:color w:val="000000"/>
          <w:sz w:val="22"/>
        </w:rPr>
        <w:t>Whether the annual fiscal review conducted by the department indicated any irregularities in the residents’ accounts.</w:t>
      </w:r>
    </w:p>
    <w:p>
      <w:pPr>
        <w:spacing w:before="210" w:after="0"/>
        <w:ind w:left="120"/>
        <w:jc w:val="both"/>
      </w:pPr>
      <w:r>
        <w:rPr>
          <w:rFonts w:ascii="Times New Roman" w:hAnsi="Times New Roman"/>
          <w:b/>
          <w:i w:val="false"/>
          <w:color w:val="000000"/>
          <w:sz w:val="22"/>
        </w:rPr>
        <w:t>481—54.7</w:t>
      </w:r>
      <w:r>
        <w:rPr>
          <w:rFonts w:ascii="Times New Roman" w:hAnsi="Times New Roman"/>
          <w:b/>
          <w:i w:val="false"/>
          <w:color w:val="000000"/>
          <w:sz w:val="22"/>
        </w:rPr>
        <w:t xml:space="preserve">(135C) </w:t>
      </w:r>
      <w:r>
        <w:rPr>
          <w:rFonts w:ascii="Times New Roman" w:hAnsi="Times New Roman"/>
          <w:b/>
          <w:i w:val="false"/>
          <w:color w:val="000000"/>
          <w:sz w:val="22"/>
        </w:rPr>
        <w:t xml:space="preserve">Selection of finalists. </w:t>
      </w:r>
      <w:r>
        <w:rPr>
          <w:rFonts w:ascii="Times New Roman" w:hAnsi="Times New Roman"/>
          <w:b w:val="false"/>
          <w:i w:val="false"/>
          <w:color w:val="000000"/>
          <w:sz w:val="22"/>
        </w:rPr>
        <w:t>When reviewing the nominations, the department shall rank all facilities according to the above criteria. The ranked list of facilities shall be provided to the director for further review and consideration. When the final selection is made, no more than two facilities from each congressional district shall be recognized as award winners.</w:t>
      </w:r>
    </w:p>
    <w:p>
      <w:pPr>
        <w:spacing w:before="0" w:after="0"/>
        <w:ind w:left="120"/>
        <w:jc w:val="both"/>
      </w:pPr>
      <w:r>
        <w:rPr>
          <w:rFonts w:ascii="Times New Roman" w:hAnsi="Times New Roman"/>
          <w:b/>
          <w:i w:val="false"/>
          <w:color w:val="000000"/>
          <w:sz w:val="22"/>
        </w:rPr>
        <w:t>481—54.8</w:t>
      </w:r>
      <w:r>
        <w:rPr>
          <w:rFonts w:ascii="Times New Roman" w:hAnsi="Times New Roman"/>
          <w:b/>
          <w:i w:val="false"/>
          <w:color w:val="000000"/>
          <w:sz w:val="22"/>
        </w:rPr>
        <w:t xml:space="preserve">(135C) </w:t>
      </w:r>
      <w:r>
        <w:rPr>
          <w:rFonts w:ascii="Times New Roman" w:hAnsi="Times New Roman"/>
          <w:b/>
          <w:i w:val="false"/>
          <w:color w:val="000000"/>
          <w:sz w:val="22"/>
        </w:rPr>
        <w:t xml:space="preserve">Certificate of recognition. </w:t>
      </w:r>
      <w:r>
        <w:rPr>
          <w:rFonts w:ascii="Times New Roman" w:hAnsi="Times New Roman"/>
          <w:b w:val="false"/>
          <w:i w:val="false"/>
          <w:color w:val="000000"/>
          <w:sz w:val="22"/>
        </w:rPr>
        <w:t>Prior to the final selection of facilities, representatives from the department will tour all facilities still in contention to determine the winners. Each winning facility will receive a certificate in recognition of its designation as a quality health care provider. The winning facilities shall be announced and recognized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10A.104(5)</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135C.20B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6/9/00, Notice 1/12/00—published 6/28/00, effective 8/2/00]</w:t>
      </w:r>
    </w:p>
    <w:p>
      <w:pPr>
        <w:spacing w:before="0" w:after="0"/>
        <w:ind w:left="120"/>
        <w:jc w:val="center"/>
      </w:pPr>
      <w:r>
        <w:rPr>
          <w:rFonts w:ascii="Times New Roman" w:hAnsi="Times New Roman"/>
          <w:b w:val="false"/>
          <w:i w:val="false"/>
          <w:color w:val="000000"/>
          <w:sz w:val="21"/>
        </w:rPr>
        <w:t>[Filed 1/12/05, Notice 12/8/04—published 2/2/05, effective 3/9/05]</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6860C</w:t>
      </w:r>
      <w:r>
        <w:rPr>
          <w:rFonts w:ascii="Times New Roman" w:hAnsi="Times New Roman"/>
          <w:b w:val="false"/>
          <w:i w:val="false"/>
          <w:color w:val="000000"/>
          <w:sz w:val="21"/>
        </w:rPr>
        <w:t xml:space="preserve"> (Notice ARC 6742C, IAB 12/14/22)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pdf" Type="http://schemas.openxmlformats.org/officeDocument/2006/relationships/hyperlink" Id="rId5"/>
    <Relationship TargetMode="External" Target="https://www.legis.iowa.gov/docs/ico/chapter/135C.pdf" Type="http://schemas.openxmlformats.org/officeDocument/2006/relationships/hyperlink" Id="rId6"/>
    <Relationship TargetMode="External" Target="https://www.legis.iowa.gov/docs/ico/chapter/135C.20A.pdf" Type="http://schemas.openxmlformats.org/officeDocument/2006/relationships/hyperlink" Id="rId7"/>
    <Relationship TargetMode="External" Target="https://www.legis.iowa.gov/docs/ico/chapter/249A.pdf" Type="http://schemas.openxmlformats.org/officeDocument/2006/relationships/hyperlink" Id="rId8"/>
    <Relationship TargetMode="External" Target="https://www.legis.iowa.gov/docs/ico/chapter/10A.104.pdf" Type="http://schemas.openxmlformats.org/officeDocument/2006/relationships/hyperlink" Id="rId9"/>
    <Relationship TargetMode="External" Target="https://www.legis.iowa.gov/docs/ico/chapter/135C.14.pdf" Type="http://schemas.openxmlformats.org/officeDocument/2006/relationships/hyperlink" Id="rId10"/>
    <Relationship TargetMode="External" Target="https://www.legis.iowa.gov/docs/ico/chapter/135C.20B.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