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DEPENDENT ADULT ABUSE IN FACILITIES AND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481—52.1</w:t>
      </w:r>
      <w:r>
        <w:rPr>
          <w:rFonts w:ascii="Times New Roman" w:hAnsi="Times New Roman"/>
          <w:b/>
          <w:i w:val="false"/>
          <w:color w:val="000000"/>
          <w:sz w:val="22"/>
        </w:rPr>
        <w:t xml:space="preserve">(235E)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235E.1</w:t>
        </w:r>
      </w:hyperlink>
      <w:r>
        <w:rPr>
          <w:rFonts w:ascii="Times New Roman" w:hAnsi="Times New Roman"/>
          <w:b w:val="false"/>
          <w:i w:val="false"/>
          <w:color w:val="000000"/>
          <w:sz w:val="22"/>
        </w:rPr>
        <w:t xml:space="preserve"> are incorporated herein by reference. For purposes of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person who is a staff member of a facility or program who provides care, protection, or services to a dependent adult voluntarily, by contract, through employment, or by order of the court. For the purpose of an allegation of exploitation, if the caretaker-dependent adult relationship started when a staff member was employed in the facility, the staff member may be considered a caretaker after employment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means any of the following as a result of the willful misconduct or gross negligence or reckless act or omission of a caretaker, taking into account the totality of the circumstances: physical injury, unreasonable confinement, unreasonable punishment, assault, sexual offense, sexual exploitation, exploitation, neglect, or personal degradation.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negligence” </w:t>
      </w:r>
      <w:r>
        <w:rPr>
          <w:rFonts w:ascii="Times New Roman" w:hAnsi="Times New Roman"/>
          <w:b w:val="false"/>
          <w:i w:val="false"/>
          <w:color w:val="000000"/>
          <w:sz w:val="22"/>
        </w:rPr>
        <w:t>means an act or omission that signifies more than ordinary inadvertence or inattention, but less than conscious indifference to consequences; and, in other words, means an extreme departure from the ordinary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“Immediately,” </w:t>
      </w:r>
      <w:r>
        <w:rPr>
          <w:rFonts w:ascii="Times New Roman" w:hAnsi="Times New Roman"/>
          <w:b w:val="false"/>
          <w:i w:val="false"/>
          <w:color w:val="000000"/>
          <w:sz w:val="22"/>
        </w:rPr>
        <w:t>for purposes of mandatory reporters’ reporting of suspected dependent adult abuse,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surveyor or investigator with the department or any department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“Misappropriates” </w:t>
      </w:r>
      <w:r>
        <w:rPr>
          <w:rFonts w:ascii="Times New Roman" w:hAnsi="Times New Roman"/>
          <w:b w:val="false"/>
          <w:i w:val="false"/>
          <w:color w:val="000000"/>
          <w:sz w:val="22"/>
        </w:rPr>
        <w:t>means taking unfair advantage of or wrongfully or dishonestly exercising control over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a physical injury, or injury that is at a variance with the history given of the injury, which involves a breach of skill or care or learning ordinarily exercised by a caretaker in similar circumstances. “Physical injury” includes damage to any bodily tissue to the extent that the tissue must undergo a healing process in order to be restored to a sound and healthy condition, damage to any bodily tissue to the extent that the tissue cannot be restored to a sound and healthy condition, or damage to any bodily tissue that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“Registry” </w:t>
      </w:r>
      <w:r>
        <w:rPr>
          <w:rFonts w:ascii="Times New Roman" w:hAnsi="Times New Roman"/>
          <w:b w:val="false"/>
          <w:i w:val="false"/>
          <w:color w:val="000000"/>
          <w:sz w:val="22"/>
        </w:rPr>
        <w:t xml:space="preserve">means the central registry for dependent adult abuse information established in Iowa Code section </w:t>
      </w:r>
      <w:hyperlink r:id="rId6">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means a verbal or written statement, made to the department, that alleges that dependent adult abuse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a resident of a health care facility as defined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 patient in a hospital as defined in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 tenant of an assisted living program as defined in Iowa Code chapter </w:t>
      </w:r>
      <w:hyperlink r:id="rId9">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 tenant in an elder group home as defined in Iowa Code chapter </w:t>
      </w:r>
      <w:hyperlink r:id="rId10">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or a participant in an adult day services program as defined in Iowa Code chapter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exploitation” </w:t>
      </w:r>
      <w:r>
        <w:rPr>
          <w:rFonts w:ascii="Times New Roman" w:hAnsi="Times New Roman"/>
          <w:b w:val="false"/>
          <w:i w:val="false"/>
          <w:color w:val="000000"/>
          <w:sz w:val="22"/>
        </w:rPr>
        <w:t>means any consensual or nonconsensual sexual conduct with a dependent adult by a caretaker whether within a facility or program or at a location outside of a facility or program. “Sexual exploitation”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Kissing;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Touching of the clothed or unclothed breast, groin, buttock, anus, pubes, or genitals;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sex act as defined in Iowa Code section </w:t>
      </w:r>
      <w:hyperlink r:id="rId12">
        <w:r>
          <w:rPr>
            <w:rStyle w:val="Hyperlink"/>
            <w:rFonts w:ascii="Times New Roman" w:hAnsi="Times New Roman"/>
            <w:b w:val="false"/>
            <w:i w:val="false"/>
            <w:color w:val="000000"/>
            <w:sz w:val="22"/>
          </w:rPr>
          <w:t>702.17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transmission, display or taking of electronic images of the unclothed breast, groin, buttock, anus, pubes, or genitals of a dependent adult by a caretaker for a purpose not related to treatment, care, monitoring, assessment or diagnosis or as part of an ongoing evaluation or investigation.</w:t>
      </w:r>
    </w:p>
    <w:p>
      <w:pPr>
        <w:spacing w:before="0" w:after="0"/>
        <w:ind w:left="120"/>
        <w:jc w:val="both"/>
      </w:pPr>
      <w:r>
        <w:rPr>
          <w:rFonts w:ascii="Times New Roman" w:hAnsi="Times New Roman"/>
          <w:b w:val="false"/>
          <w:i w:val="false"/>
          <w:color w:val="000000"/>
          <w:sz w:val="22"/>
        </w:rPr>
        <w:t>“Sexual exploitation” does not include touching that is part of a necessary examination, treatment, or care by a caretaker acting within the scope of the practice or employment of the caretaker; the exchange of a brief touch or hug between the dependent adult and a caretaker for the purpose of reassurance, comfort, or casual friendship; or touching between spouses or domestic partners in an intimate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offense” </w:t>
      </w:r>
      <w:r>
        <w:rPr>
          <w:rFonts w:ascii="Times New Roman" w:hAnsi="Times New Roman"/>
          <w:b w:val="false"/>
          <w:i w:val="false"/>
          <w:color w:val="000000"/>
          <w:sz w:val="22"/>
        </w:rPr>
        <w:t xml:space="preserve">means the commission of a sexual offense under Iowa Code chapter </w:t>
      </w:r>
      <w:hyperlink r:id="rId1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4">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with or against a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member” </w:t>
      </w:r>
      <w:r>
        <w:rPr>
          <w:rFonts w:ascii="Times New Roman" w:hAnsi="Times New Roman"/>
          <w:b w:val="false"/>
          <w:i w:val="false"/>
          <w:color w:val="000000"/>
          <w:sz w:val="22"/>
        </w:rPr>
        <w:t>means an individual who provides direct or indirect treatment or services to residents in a facility or program. Specifically included in the definition of “staff member” is an employee, health care employment agency worker, or other independent contractor who otherwise meets the definition. Direct treatment or services include those provided through person-to-person contact. Indirect treatment or services include those provided without person-to-person contact such as those provided by administration, dietary, laundry, and maintenance. Specifically excluded from the definition of “staff member” are individuals such as part-time volunteers, building contractors, repair workers or others who are in a facility or program for a very limited purpose, are not in the facility or program on a regular basis, or do not provide any treatment or services to the residents of the facility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confinement” </w:t>
      </w:r>
      <w:r>
        <w:rPr>
          <w:rFonts w:ascii="Times New Roman" w:hAnsi="Times New Roman"/>
          <w:b w:val="false"/>
          <w:i w:val="false"/>
          <w:color w:val="000000"/>
          <w:sz w:val="22"/>
        </w:rPr>
        <w:t>means confinement that includes but is not limited to the use of restraints, either physical or chemical, for the convenience of staff. “Unreasonable confinement” does not include the use of confinement and restraints if the methods are employed in conformance with state and federal standards governing confinement and restraint or as authorized by a physician or physician extender.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punishment” </w:t>
      </w:r>
      <w:r>
        <w:rPr>
          <w:rFonts w:ascii="Times New Roman" w:hAnsi="Times New Roman"/>
          <w:b w:val="false"/>
          <w:i w:val="false"/>
          <w:color w:val="000000"/>
          <w:sz w:val="22"/>
        </w:rPr>
        <w:t>means a willful act or statement intended by the caretaker to punish, agitate, confuse, frighten, or cause emotional distress to the dependent adult. Such willful act or statement includes but is not limited to intimidating behavior, threats, harassment, deceptive acts, or false or misleading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“Willful misconduct” </w:t>
      </w:r>
      <w:r>
        <w:rPr>
          <w:rFonts w:ascii="Times New Roman" w:hAnsi="Times New Roman"/>
          <w:b w:val="false"/>
          <w:i w:val="false"/>
          <w:color w:val="000000"/>
          <w:sz w:val="22"/>
        </w:rPr>
        <w:t>means an intentional act of unreasonable character committed with disregard for a known or obvious risk that is so great as to make it highly probable that harm will follow.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481—52.2</w:t>
      </w:r>
      <w:r>
        <w:rPr>
          <w:rFonts w:ascii="Times New Roman" w:hAnsi="Times New Roman"/>
          <w:b/>
          <w:i w:val="false"/>
          <w:color w:val="000000"/>
          <w:sz w:val="22"/>
        </w:rPr>
        <w:t xml:space="preserve">(235E)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persons shall report suspected dependent adult abuse in accordance with subrule </w:t>
      </w:r>
      <w:hyperlink r:id="rId15">
        <w:r>
          <w:rPr>
            <w:rStyle w:val="Hyperlink"/>
            <w:rFonts w:ascii="Times New Roman" w:hAnsi="Times New Roman"/>
            <w:b w:val="false"/>
            <w:i w:val="false"/>
            <w:color w:val="000000"/>
            <w:sz w:val="22"/>
          </w:rPr>
          <w:t>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staff member. Specifically excluded from the definition of “staff member” only for purposes of the requirements set forth in this subrule are individuals who have no contact or de minimis contact with residents in a facility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Entities as set forth in </w:t>
      </w:r>
      <w:hyperlink r:id="rId16">
        <w:r>
          <w:rPr>
            <w:rStyle w:val="Hyperlink"/>
            <w:rFonts w:ascii="Times New Roman" w:hAnsi="Times New Roman"/>
            <w:b w:val="false"/>
            <w:i w:val="false"/>
            <w:color w:val="000000"/>
            <w:sz w:val="22"/>
          </w:rPr>
          <w:t>481—Chapter 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Reporting procedures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staff member or employee is required to make a report pursuant to this rule, the staff member or employee shall immediately notify the person in charge or the person’s designated agent, who shall then notify the department within 24 hours of such notification or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in charge is the alleged perpetrator of dependent adult abuse, the staff member shall directly report the abuse to the department within 24 hours or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prevents any person from notifying the department directly of suspected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or supervisor of a person who is required to or may make a report pursuant to this rule shall not apply a policy, work rule, or other requirement that interferes with the person making a report of dependent adult abuse or that results in the failure of another person to make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person making the report has reason to believe that immediate protection for the dependent adult is advisable, that person should also immediately make an oral report to an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of suspected dependent adult abuse should contain as much of the following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diagnoses of the dependent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dependent adult sustained an injury and, if yes, whether photographs of the injury were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dependent adult abuse, including evidence of previous dependent adult abuse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list of the staff members working at the time of the incident, including each staff member’s full name, title, date of birth,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full name, title, date of birth, social security number, address, and telephone number of the alleged perpetrator of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information that might be helpful in establishing the cause of the abuse, establishing the identity of the person or persons responsible for the abuse, or providing assistance to the dependent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A report will be accepted whether or not it contains all of the information requested. When the report is made to any agency other than the department, that agency will promptly refer the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 person required to report abuse who knowingly and willfully fails to do so within 24 hours may be subject to criminal penalties and civil liability as provided for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Interference with a person required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unlawful for any person or employer to discharge, suspend, or otherwise discipline a person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suspected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Cooperating with or assisting the department in evaluating a report or investigating a case of dependent adult abuse;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Participating in judicial proceedings relating to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in violation of this subrule may be guilty of a simple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481—52.3</w:t>
      </w:r>
      <w:r>
        <w:rPr>
          <w:rFonts w:ascii="Times New Roman" w:hAnsi="Times New Roman"/>
          <w:b/>
          <w:i w:val="false"/>
          <w:color w:val="000000"/>
          <w:sz w:val="22"/>
        </w:rPr>
        <w:t xml:space="preserve">(235E) </w:t>
      </w:r>
      <w:r>
        <w:rPr>
          <w:rFonts w:ascii="Times New Roman" w:hAnsi="Times New Roman"/>
          <w:b/>
          <w:i w:val="false"/>
          <w:color w:val="000000"/>
          <w:sz w:val="22"/>
        </w:rPr>
        <w:t xml:space="preserve">Reports and central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Receipt and evaluation of reports. </w:t>
      </w:r>
      <w:r>
        <w:rPr>
          <w:rFonts w:ascii="Times New Roman" w:hAnsi="Times New Roman"/>
          <w:b w:val="false"/>
          <w:i w:val="false"/>
          <w:color w:val="000000"/>
          <w:sz w:val="22"/>
        </w:rPr>
        <w:t xml:space="preserve">The department receives and evaluates reports of dependent adult abuse in facilities and programs. Upon receipt of a report, the department will conduct an intake sufficient to determine whether the allegation constitutes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w:t>
      </w:r>
      <w:r>
        <w:rPr>
          <w:rFonts w:ascii="Times New Roman" w:hAnsi="Times New Roman"/>
          <w:b w:val="false"/>
          <w:i w:val="false"/>
          <w:color w:val="000000"/>
          <w:sz w:val="22"/>
        </w:rPr>
        <w:t xml:space="preserve">The department will inform the department of health and human services of such evaluations and dispositions for inclusion in the central registry for dependent adult abuse information pursuant to Iowa Code section </w:t>
      </w:r>
      <w:hyperlink r:id="rId17">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color w:val="000000"/>
          <w:sz w:val="22"/>
        </w:rPr>
        <w:t xml:space="preserve">Reports to and from the department of health and human services. </w:t>
      </w:r>
      <w:r>
        <w:rPr>
          <w:rFonts w:ascii="Times New Roman" w:hAnsi="Times New Roman"/>
          <w:b w:val="false"/>
          <w:i w:val="false"/>
          <w:color w:val="000000"/>
          <w:sz w:val="22"/>
        </w:rPr>
        <w:t>The department will transfer any reports received of dependent adult abuse in the community to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color w:val="000000"/>
          <w:sz w:val="22"/>
        </w:rPr>
        <w:t xml:space="preserve">Reports that are minor, isolated, and unlikely to reoccur.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 report of dependent adult abuse that meets the definition of “dependent adult abuse” as defined in Iowa Code section </w:t>
      </w:r>
      <w:hyperlink r:id="rId18">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 xml:space="preserve">(1)(a) or (d), or section </w:t>
      </w:r>
      <w:hyperlink r:id="rId19">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(3), which the department determines is minor, isolated, and unlikely to reoccur shall be collected and maintained by the department of health and human services for a five-year period, shall not be included in the central registry, and shall not be considered founded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instance(s). </w:t>
      </w:r>
      <w:r>
        <w:rPr>
          <w:rFonts w:ascii="Times New Roman" w:hAnsi="Times New Roman"/>
          <w:b w:val="false"/>
          <w:i w:val="false"/>
          <w:color w:val="000000"/>
          <w:sz w:val="22"/>
        </w:rPr>
        <w:t xml:space="preserve">A subsequent report of dependent adult abuse that meets the definition of “dependent adult abuse” as defined in Iowa Code section </w:t>
      </w:r>
      <w:hyperlink r:id="rId20">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 xml:space="preserve">(1)(a) or (d), or section </w:t>
      </w:r>
      <w:hyperlink r:id="rId21">
        <w:r>
          <w:rPr>
            <w:rStyle w:val="Hyperlink"/>
            <w:rFonts w:ascii="Times New Roman" w:hAnsi="Times New Roman"/>
            <w:b w:val="false"/>
            <w:i w:val="false"/>
            <w:color w:val="000000"/>
            <w:sz w:val="22"/>
          </w:rPr>
          <w:t>235E.1(5)</w:t>
        </w:r>
      </w:hyperlink>
      <w:r>
        <w:rPr>
          <w:rFonts w:ascii="Times New Roman" w:hAnsi="Times New Roman"/>
          <w:b w:val="false"/>
          <w:i/>
          <w:color w:val="000000"/>
          <w:sz w:val="22"/>
        </w:rPr>
        <w:t>“a”</w:t>
      </w:r>
      <w:r>
        <w:rPr>
          <w:rFonts w:ascii="Times New Roman" w:hAnsi="Times New Roman"/>
          <w:b w:val="false"/>
          <w:i w:val="false"/>
          <w:color w:val="000000"/>
          <w:sz w:val="22"/>
        </w:rPr>
        <w:t>(3), that occurs within the five-year period, and that is committed by the same caretaker may also be considered minor, isolated, and unlikely to reoccur, depending on the totality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All initial and subsequent reports are collected and maintained by the department of health and human services until a five-year period has expired, so long as no additional reports have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481—52.4</w:t>
      </w:r>
      <w:r>
        <w:rPr>
          <w:rFonts w:ascii="Times New Roman" w:hAnsi="Times New Roman"/>
          <w:b/>
          <w:i w:val="false"/>
          <w:color w:val="000000"/>
          <w:sz w:val="22"/>
        </w:rPr>
        <w:t xml:space="preserve">(235E) </w:t>
      </w:r>
      <w:r>
        <w:rPr>
          <w:rFonts w:ascii="Times New Roman" w:hAnsi="Times New Roman"/>
          <w:b/>
          <w:i w:val="false"/>
          <w:color w:val="000000"/>
          <w:sz w:val="22"/>
        </w:rPr>
        <w:t xml:space="preserve">Separation mandatory. </w:t>
      </w:r>
      <w:r>
        <w:rPr>
          <w:rFonts w:ascii="Times New Roman" w:hAnsi="Times New Roman"/>
          <w:b w:val="false"/>
          <w:i w:val="false"/>
          <w:color w:val="000000"/>
          <w:sz w:val="22"/>
        </w:rPr>
        <w:t>Upon receipt of a report of alleged dependent adult abuse in a facility or program, the facility or program shall separate the victim and the alleged perpetrator of dependent adult abuse immediately and maintain that separation until the department’s abuse investigation is completed and the abuse determination is made.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Facilities that participate in the federal Medicare or Medicaid program may be subject to additional federal requirements regarding separation.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481—52.5</w:t>
      </w:r>
      <w:r>
        <w:rPr>
          <w:rFonts w:ascii="Times New Roman" w:hAnsi="Times New Roman"/>
          <w:b/>
          <w:i w:val="false"/>
          <w:color w:val="000000"/>
          <w:sz w:val="22"/>
        </w:rPr>
        <w:t xml:space="preserve">(235E) </w:t>
      </w:r>
      <w:r>
        <w:rPr>
          <w:rFonts w:ascii="Times New Roman" w:hAnsi="Times New Roman"/>
          <w:b/>
          <w:i w:val="false"/>
          <w:color w:val="000000"/>
          <w:sz w:val="22"/>
        </w:rPr>
        <w:t xml:space="preserve">Interviews, examination of evidence, and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color w:val="000000"/>
          <w:sz w:val="22"/>
        </w:rPr>
        <w:t xml:space="preserve">Entering and examination of evidence. </w:t>
      </w:r>
      <w:r>
        <w:rPr>
          <w:rFonts w:ascii="Times New Roman" w:hAnsi="Times New Roman"/>
          <w:b w:val="false"/>
          <w:i w:val="false"/>
          <w:color w:val="000000"/>
          <w:sz w:val="22"/>
        </w:rPr>
        <w:t>An inspector of the department may enter any facility or program without a warrant and may examine all records and items pertaining to residents, employees, former employees, and the alleged perpetrator of dependent adult abuse and any other records and items necessary to ensure the integrity of the investigation unless the record or item is protected by some other legal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inspector of the department may contact or interview any resident, employee, former employee, or any other person who may have knowledge about the alleged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alleged perpetrator of dependent adult abuse may request to have an attorney present at the alleged perpetrator’s own expense at any time during the interview, but the request may not unreasonably delay the investigation. An employee organization representative or union representative may observe an investigative interview conducted by the department of an alleged perpetrator of dependent adult abuse if all of the conditions set forth in Iowa Code section </w:t>
      </w:r>
      <w:hyperlink r:id="rId22">
        <w:r>
          <w:rPr>
            <w:rStyle w:val="Hyperlink"/>
            <w:rFonts w:ascii="Times New Roman" w:hAnsi="Times New Roman"/>
            <w:b w:val="false"/>
            <w:i w:val="false"/>
            <w:color w:val="000000"/>
            <w:sz w:val="22"/>
          </w:rPr>
          <w:t>235E.2(13)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The purpose of the interview is a civil administrative dependent adult abuse investigation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color w:val="000000"/>
          <w:sz w:val="22"/>
        </w:rPr>
        <w:t xml:space="preserve">Photographs. </w:t>
      </w:r>
      <w:r>
        <w:rPr>
          <w:rFonts w:ascii="Times New Roman" w:hAnsi="Times New Roman"/>
          <w:b w:val="false"/>
          <w:i w:val="false"/>
          <w:color w:val="000000"/>
          <w:sz w:val="22"/>
        </w:rPr>
        <w:t xml:space="preserve">An inspector may take or cause to be taken photographs of the dependent adult abuse victim and the vicinity involved in accordance with Iowa Code section </w:t>
      </w:r>
      <w:hyperlink r:id="rId23">
        <w:r>
          <w:rPr>
            <w:rStyle w:val="Hyperlink"/>
            <w:rFonts w:ascii="Times New Roman" w:hAnsi="Times New Roman"/>
            <w:b w:val="false"/>
            <w:i w:val="false"/>
            <w:color w:val="000000"/>
            <w:sz w:val="22"/>
          </w:rPr>
          <w:t>235E.2(12)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52.5(4)</w:t>
      </w:r>
      <w:r>
        <w:rPr>
          <w:rFonts w:ascii="Times New Roman" w:hAnsi="Times New Roman"/>
          <w:b w:val="false"/>
          <w:i w:val="false"/>
          <w:color w:val="000000"/>
          <w:sz w:val="22"/>
        </w:rPr>
        <w:t> </w:t>
      </w:r>
      <w:r>
        <w:rPr>
          <w:rFonts w:ascii="Times New Roman" w:hAnsi="Times New Roman"/>
          <w:b w:val="false"/>
          <w:i/>
          <w:color w:val="000000"/>
          <w:sz w:val="22"/>
        </w:rPr>
        <w:t xml:space="preserve">Evaluating information. </w:t>
      </w:r>
      <w:r>
        <w:rPr>
          <w:rFonts w:ascii="Times New Roman" w:hAnsi="Times New Roman"/>
          <w:b w:val="false"/>
          <w:i w:val="false"/>
          <w:color w:val="000000"/>
          <w:sz w:val="22"/>
        </w:rPr>
        <w:t>The department will consider the information as reported, other known or discovered information, and any information gathered as a result of the inspector’s contact with collateral sources, including prior abuse allegations and disciplinary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481—52.6</w:t>
      </w:r>
      <w:r>
        <w:rPr>
          <w:rFonts w:ascii="Times New Roman" w:hAnsi="Times New Roman"/>
          <w:b/>
          <w:i w:val="false"/>
          <w:color w:val="000000"/>
          <w:sz w:val="22"/>
        </w:rPr>
        <w:t xml:space="preserve">(235E) </w:t>
      </w:r>
      <w:r>
        <w:rPr>
          <w:rFonts w:ascii="Times New Roman" w:hAnsi="Times New Roman"/>
          <w:b/>
          <w:i w:val="false"/>
          <w:color w:val="000000"/>
          <w:sz w:val="22"/>
        </w:rPr>
        <w:t xml:space="preserve">Notification to subsequent employers. </w:t>
      </w:r>
      <w:r>
        <w:rPr>
          <w:rFonts w:ascii="Times New Roman" w:hAnsi="Times New Roman"/>
          <w:b w:val="false"/>
          <w:i w:val="false"/>
          <w:color w:val="000000"/>
          <w:sz w:val="22"/>
        </w:rPr>
        <w:t xml:space="preserve">The department will notify a facility or program that subsequently employs a founded dependent adult abuser in accordance with Iowa Code section </w:t>
      </w:r>
      <w:hyperlink r:id="rId24">
        <w:r>
          <w:rPr>
            <w:rStyle w:val="Hyperlink"/>
            <w:rFonts w:ascii="Times New Roman" w:hAnsi="Times New Roman"/>
            <w:b w:val="false"/>
            <w:i w:val="false"/>
            <w:color w:val="000000"/>
            <w:sz w:val="22"/>
          </w:rPr>
          <w:t>235E.2(11)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8294B</w:t>
      </w:r>
      <w:r>
        <w:rPr>
          <w:rFonts w:ascii="Times New Roman" w:hAnsi="Times New Roman"/>
          <w:b w:val="false"/>
          <w:i w:val="false"/>
          <w:color w:val="000000"/>
          <w:sz w:val="21"/>
        </w:rPr>
        <w:t xml:space="preserve"> (Notice ARC 7828B, IAB 6/3/09; </w:t>
      </w:r>
      <w:r>
        <w:rPr>
          <w:rFonts w:ascii="Times New Roman" w:hAnsi="Times New Roman"/>
          <w:b w:val="false"/>
          <w:i w:val="false"/>
          <w:color w:val="000000"/>
          <w:sz w:val="21"/>
        </w:rPr>
        <w:t>Amended Notice ARC 7939B, IAB 7/1/09)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3235C</w:t>
      </w:r>
      <w:r>
        <w:rPr>
          <w:rFonts w:ascii="Times New Roman" w:hAnsi="Times New Roman"/>
          <w:b w:val="false"/>
          <w:i w:val="false"/>
          <w:color w:val="000000"/>
          <w:sz w:val="21"/>
        </w:rPr>
        <w:t xml:space="preserve"> (Notice ARC 3110C,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5004C</w:t>
      </w:r>
      <w:r>
        <w:rPr>
          <w:rFonts w:ascii="Times New Roman" w:hAnsi="Times New Roman"/>
          <w:b w:val="false"/>
          <w:i w:val="false"/>
          <w:color w:val="000000"/>
          <w:sz w:val="21"/>
        </w:rPr>
        <w:t xml:space="preserve"> (Notice ARC 4890C,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6801C</w:t>
      </w:r>
      <w:r>
        <w:rPr>
          <w:rFonts w:ascii="Times New Roman" w:hAnsi="Times New Roman"/>
          <w:b w:val="false"/>
          <w:i w:val="false"/>
          <w:color w:val="000000"/>
          <w:sz w:val="21"/>
        </w:rPr>
        <w:t xml:space="preserve"> (Notice ARC 6633C,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9270C</w:t>
      </w:r>
      <w:r>
        <w:rPr>
          <w:rFonts w:ascii="Times New Roman" w:hAnsi="Times New Roman"/>
          <w:b w:val="false"/>
          <w:i w:val="false"/>
          <w:color w:val="000000"/>
          <w:sz w:val="21"/>
        </w:rPr>
        <w:t xml:space="preserve"> (Notice ARC 8905C,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5E.1.pdf" Type="http://schemas.openxmlformats.org/officeDocument/2006/relationships/hyperlink" Id="rId5"/>
    <Relationship TargetMode="External" Target="https://www.legis.iowa.gov/docs/ico/chapter/235B.5.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231C.pdf" Type="http://schemas.openxmlformats.org/officeDocument/2006/relationships/hyperlink" Id="rId9"/>
    <Relationship TargetMode="External" Target="https://www.legis.iowa.gov/docs/ico/chapter/231B.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702.17.pdf" Type="http://schemas.openxmlformats.org/officeDocument/2006/relationships/hyperlink" Id="rId12"/>
    <Relationship TargetMode="External" Target="https://www.legis.iowa.gov/docs/ico/chapter/709.pdf" Type="http://schemas.openxmlformats.org/officeDocument/2006/relationships/hyperlink" Id="rId13"/>
    <Relationship TargetMode="External" Target="https://www.legis.iowa.gov/docs/ico/chapter/726.2.pdf" Type="http://schemas.openxmlformats.org/officeDocument/2006/relationships/hyperlink" Id="rId14"/>
    <Relationship TargetMode="External" Target="https://www.legis.iowa.gov/docs/iac/rule/481.52.2.pdf" Type="http://schemas.openxmlformats.org/officeDocument/2006/relationships/hyperlink" Id="rId15"/>
    <Relationship TargetMode="External" Target="https://www.legis.iowa.gov/docs/iac/chapter/481.55.pdf" Type="http://schemas.openxmlformats.org/officeDocument/2006/relationships/hyperlink" Id="rId16"/>
    <Relationship TargetMode="External" Target="https://www.legis.iowa.gov/docs/ico/chapter/235B.5.pdf" Type="http://schemas.openxmlformats.org/officeDocument/2006/relationships/hyperlink" Id="rId17"/>
    <Relationship TargetMode="External" Target="https://www.legis.iowa.gov/docs/ico/chapter/235E.1.pdf" Type="http://schemas.openxmlformats.org/officeDocument/2006/relationships/hyperlink" Id="rId18"/>
    <Relationship TargetMode="External" Target="https://www.legis.iowa.gov/docs/ico/chapter/235E.1.pdf" Type="http://schemas.openxmlformats.org/officeDocument/2006/relationships/hyperlink" Id="rId19"/>
    <Relationship TargetMode="External" Target="https://www.legis.iowa.gov/docs/ico/chapter/235E.1.pdf" Type="http://schemas.openxmlformats.org/officeDocument/2006/relationships/hyperlink" Id="rId20"/>
    <Relationship TargetMode="External" Target="https://www.legis.iowa.gov/docs/ico/chapter/235E.1.pdf" Type="http://schemas.openxmlformats.org/officeDocument/2006/relationships/hyperlink" Id="rId21"/>
    <Relationship TargetMode="External" Target="https://www.legis.iowa.gov/docs/ico/chapter/235E.2.pdf" Type="http://schemas.openxmlformats.org/officeDocument/2006/relationships/hyperlink" Id="rId22"/>
    <Relationship TargetMode="External" Target="https://www.legis.iowa.gov/docs/ico/chapter/235E.2.pdf" Type="http://schemas.openxmlformats.org/officeDocument/2006/relationships/hyperlink" Id="rId23"/>
    <Relationship TargetMode="External" Target="https://www.legis.iowa.gov/docs/ico/chapter/235E.2.pdf" Type="http://schemas.openxmlformats.org/officeDocument/2006/relationships/hyperlink" Id="rId24"/>
    <Relationship TargetMode="External" Target="https://www.legis.iowa.gov/docs/ico/chapter/235E.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